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7"/>
          <w:tab w:val="center" w:pos="68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jc w:val="both"/>
        <w:textAlignment w:val="baseline"/>
        <w:rPr>
          <w:rFonts w:hint="eastAsia" w:ascii="方正小标宋简体" w:hAnsi="宋体" w:eastAsia="方正小标宋简体" w:cs="宋体"/>
          <w:bCs/>
          <w:spacing w:val="100"/>
          <w:sz w:val="52"/>
          <w:szCs w:val="5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bCs/>
          <w:spacing w:val="100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100"/>
          <w:sz w:val="52"/>
          <w:szCs w:val="52"/>
          <w:lang w:eastAsia="zh-CN"/>
        </w:rPr>
        <w:t>郑州工商学院</w:t>
      </w:r>
      <w:r>
        <w:rPr>
          <w:rFonts w:hint="eastAsia" w:ascii="方正小标宋简体" w:hAnsi="宋体" w:eastAsia="方正小标宋简体" w:cs="宋体"/>
          <w:bCs/>
          <w:spacing w:val="100"/>
          <w:sz w:val="52"/>
          <w:szCs w:val="52"/>
        </w:rPr>
        <w:t>重点学科</w:t>
      </w:r>
    </w:p>
    <w:p>
      <w:pPr>
        <w:adjustRightInd w:val="0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bCs/>
          <w:sz w:val="52"/>
          <w:szCs w:val="52"/>
        </w:rPr>
      </w:pPr>
    </w:p>
    <w:p>
      <w:pPr>
        <w:adjustRightInd w:val="0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bCs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</w:rPr>
        <w:t>年度建设计划</w:t>
      </w:r>
    </w:p>
    <w:p>
      <w:pPr>
        <w:adjustRightInd w:val="0"/>
        <w:snapToGrid w:val="0"/>
        <w:jc w:val="center"/>
        <w:rPr>
          <w:rFonts w:hint="eastAsia"/>
        </w:rPr>
      </w:pPr>
      <w:r>
        <w:rPr>
          <w:rFonts w:hint="eastAsia" w:ascii="楷体_GB2312" w:eastAsia="楷体_GB2312"/>
          <w:color w:val="000000"/>
          <w:sz w:val="48"/>
          <w:szCs w:val="48"/>
        </w:rPr>
        <w:t>（202</w:t>
      </w:r>
      <w:r>
        <w:rPr>
          <w:rFonts w:hint="eastAsia" w:ascii="楷体_GB2312" w:eastAsia="楷体_GB2312"/>
          <w:color w:val="000000"/>
          <w:sz w:val="48"/>
          <w:szCs w:val="48"/>
          <w:lang w:val="en-US" w:eastAsia="zh-CN"/>
        </w:rPr>
        <w:t>4</w:t>
      </w:r>
      <w:r>
        <w:rPr>
          <w:rFonts w:hint="eastAsia" w:ascii="楷体_GB2312" w:eastAsia="楷体_GB2312"/>
          <w:color w:val="000000"/>
          <w:sz w:val="48"/>
          <w:szCs w:val="48"/>
        </w:rPr>
        <w:t>-202</w:t>
      </w:r>
      <w:r>
        <w:rPr>
          <w:rFonts w:hint="eastAsia" w:ascii="楷体_GB2312" w:eastAsia="楷体_GB2312"/>
          <w:color w:val="000000"/>
          <w:sz w:val="48"/>
          <w:szCs w:val="48"/>
          <w:lang w:val="en-US" w:eastAsia="zh-CN"/>
        </w:rPr>
        <w:t>5</w:t>
      </w:r>
      <w:r>
        <w:rPr>
          <w:rFonts w:hint="eastAsia" w:ascii="楷体_GB2312" w:eastAsia="楷体_GB2312"/>
          <w:color w:val="000000"/>
          <w:sz w:val="48"/>
          <w:szCs w:val="48"/>
        </w:rPr>
        <w:t>）</w:t>
      </w:r>
    </w:p>
    <w:p>
      <w:pPr>
        <w:adjustRightInd w:val="0"/>
        <w:snapToGrid w:val="0"/>
        <w:jc w:val="center"/>
        <w:textAlignment w:val="baseline"/>
        <w:rPr>
          <w:rFonts w:ascii="宋体"/>
          <w:b/>
          <w:bCs/>
          <w:sz w:val="48"/>
          <w:szCs w:val="48"/>
        </w:rPr>
      </w:pPr>
    </w:p>
    <w:p>
      <w:pPr>
        <w:adjustRightInd w:val="0"/>
        <w:snapToGrid w:val="0"/>
        <w:spacing w:line="300" w:lineRule="auto"/>
        <w:jc w:val="center"/>
        <w:textAlignment w:val="baseline"/>
        <w:rPr>
          <w:rFonts w:ascii="宋体"/>
          <w:b/>
          <w:bCs/>
          <w:sz w:val="48"/>
          <w:szCs w:val="48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5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  <w:lang w:val="en-US"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学科名称</w:t>
            </w:r>
          </w:p>
        </w:tc>
        <w:tc>
          <w:tcPr>
            <w:tcW w:w="58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学科代码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学位授权类别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建设类别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一级学科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</w:p>
        </w:tc>
        <w:tc>
          <w:tcPr>
            <w:tcW w:w="587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□二级学科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重点培育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学科带头人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依托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联系人及联系方式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60" w:lineRule="exact"/>
        <w:textAlignment w:val="baseline"/>
        <w:rPr>
          <w:rFonts w:hint="eastAsia" w:ascii="仿宋_GB2312" w:hAnsi="华文中宋"/>
          <w:spacing w:val="-10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textAlignment w:val="baseline"/>
        <w:rPr>
          <w:rFonts w:hint="eastAsia" w:ascii="仿宋_GB2312" w:hAnsi="华文中宋"/>
          <w:spacing w:val="-10"/>
          <w:sz w:val="32"/>
          <w:szCs w:val="32"/>
          <w:u w:val="single"/>
        </w:rPr>
      </w:pPr>
    </w:p>
    <w:p>
      <w:pPr>
        <w:adjustRightInd w:val="0"/>
        <w:snapToGrid w:val="0"/>
        <w:jc w:val="center"/>
        <w:textAlignment w:val="baseline"/>
        <w:rPr>
          <w:rFonts w:hint="eastAsia" w:ascii="黑体" w:hAnsi="华文中宋" w:eastAsia="黑体" w:cs="华文中宋"/>
          <w:spacing w:val="20"/>
          <w:sz w:val="32"/>
          <w:szCs w:val="32"/>
          <w:lang w:eastAsia="zh-CN"/>
        </w:rPr>
      </w:pPr>
      <w:r>
        <w:rPr>
          <w:rFonts w:hint="eastAsia" w:ascii="黑体" w:hAnsi="华文中宋" w:eastAsia="黑体" w:cs="华文中宋"/>
          <w:spacing w:val="20"/>
          <w:sz w:val="32"/>
          <w:szCs w:val="32"/>
          <w:lang w:eastAsia="zh-CN"/>
        </w:rPr>
        <w:t>郑州工商学院</w:t>
      </w:r>
      <w:r>
        <w:rPr>
          <w:rFonts w:hint="eastAsia" w:ascii="黑体" w:hAnsi="华文中宋" w:eastAsia="黑体" w:cs="华文中宋"/>
          <w:spacing w:val="20"/>
          <w:sz w:val="32"/>
          <w:szCs w:val="32"/>
          <w:lang w:val="en-US" w:eastAsia="zh-CN"/>
        </w:rPr>
        <w:t xml:space="preserve"> 科技</w:t>
      </w:r>
      <w:r>
        <w:rPr>
          <w:rFonts w:hint="eastAsia" w:ascii="黑体" w:hAnsi="华文中宋" w:eastAsia="黑体" w:cs="华文中宋"/>
          <w:spacing w:val="20"/>
          <w:sz w:val="32"/>
          <w:szCs w:val="32"/>
          <w:lang w:eastAsia="zh-CN"/>
        </w:rPr>
        <w:t>处</w:t>
      </w:r>
    </w:p>
    <w:p>
      <w:pPr>
        <w:adjustRightInd w:val="0"/>
        <w:snapToGrid w:val="0"/>
        <w:jc w:val="center"/>
        <w:textAlignment w:val="baseline"/>
        <w:rPr>
          <w:rFonts w:hint="eastAsia" w:ascii="黑体" w:eastAsia="黑体"/>
          <w:sz w:val="52"/>
          <w:szCs w:val="52"/>
        </w:rPr>
      </w:pPr>
      <w:r>
        <w:rPr>
          <w:rFonts w:hint="eastAsia" w:ascii="黑体" w:hAnsi="华文中宋" w:eastAsia="黑体" w:cs="华文中宋"/>
          <w:spacing w:val="20"/>
          <w:sz w:val="32"/>
          <w:szCs w:val="32"/>
        </w:rPr>
        <w:t>20</w:t>
      </w:r>
      <w:r>
        <w:rPr>
          <w:rFonts w:hint="eastAsia" w:ascii="黑体" w:hAnsi="华文中宋" w:eastAsia="黑体" w:cs="华文中宋"/>
          <w:spacing w:val="20"/>
          <w:sz w:val="32"/>
          <w:szCs w:val="32"/>
          <w:lang w:val="en-US" w:eastAsia="zh-CN"/>
        </w:rPr>
        <w:t>24</w:t>
      </w:r>
      <w:r>
        <w:rPr>
          <w:rFonts w:hint="eastAsia" w:ascii="黑体" w:hAnsi="华文中宋" w:eastAsia="黑体" w:cs="华文中宋"/>
          <w:spacing w:val="20"/>
          <w:sz w:val="32"/>
          <w:szCs w:val="32"/>
        </w:rPr>
        <w:t>年</w:t>
      </w:r>
      <w:r>
        <w:rPr>
          <w:rFonts w:hint="eastAsia" w:ascii="黑体" w:hAnsi="华文中宋" w:eastAsia="黑体" w:cs="华文中宋"/>
          <w:spacing w:val="20"/>
          <w:sz w:val="32"/>
          <w:szCs w:val="32"/>
          <w:lang w:val="en-US" w:eastAsia="zh-CN"/>
        </w:rPr>
        <w:t>6</w:t>
      </w:r>
      <w:r>
        <w:rPr>
          <w:rFonts w:hint="eastAsia" w:ascii="黑体" w:hAnsi="华文中宋" w:eastAsia="黑体" w:cs="华文中宋"/>
          <w:spacing w:val="20"/>
          <w:sz w:val="32"/>
          <w:szCs w:val="32"/>
        </w:rPr>
        <w:t>月制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360" w:lineRule="auto"/>
        <w:rPr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一、依据《任务书》制定建设期内各年度《学科年度建设计划》，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sz w:val="24"/>
        </w:rPr>
        <w:t>不能低于《任务书》工作量的四分之一。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二、《年度建设计划》是年度考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评</w:t>
      </w:r>
      <w:r>
        <w:rPr>
          <w:rFonts w:hint="eastAsia" w:asciiTheme="minorEastAsia" w:hAnsiTheme="minorEastAsia" w:eastAsiaTheme="minorEastAsia" w:cstheme="minorEastAsia"/>
          <w:sz w:val="24"/>
        </w:rPr>
        <w:t>和验收考核的基础，应严格执行。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规划周期：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学校首批</w:t>
      </w:r>
      <w:r>
        <w:rPr>
          <w:rFonts w:hint="eastAsia" w:asciiTheme="minorEastAsia" w:hAnsiTheme="minorEastAsia" w:eastAsiaTheme="minorEastAsia" w:cstheme="minorEastAsia"/>
          <w:sz w:val="24"/>
        </w:rPr>
        <w:t>重点学科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第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sz w:val="24"/>
        </w:rPr>
        <w:t>建设期为20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年7月</w:t>
      </w:r>
      <w:r>
        <w:rPr>
          <w:rFonts w:hint="eastAsia" w:asciiTheme="minorEastAsia" w:hAnsiTheme="minorEastAsia" w:eastAsiaTheme="minorEastAsia" w:cstheme="minorEastAsia"/>
          <w:sz w:val="24"/>
        </w:rPr>
        <w:t>-202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填报要求：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加强论证，充分调研。各学科要加强对本学科领域国内前沿学科和优势学科的调研，对照本学科申请立项建设时填报的《郑州工商学院重点学科申报表》，科学制定年度计划。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突出重点，追求卓越。强化学科标志性成果目标任务建设，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突出高端人才、重大任务、重大项目、重大成果的顶层设计和建设培育，</w:t>
      </w:r>
      <w:r>
        <w:rPr>
          <w:rFonts w:hint="eastAsia" w:asciiTheme="minorEastAsia" w:hAnsiTheme="minorEastAsia" w:eastAsiaTheme="minorEastAsia" w:cstheme="minorEastAsia"/>
          <w:sz w:val="24"/>
        </w:rPr>
        <w:t>提升学科综合竞争实力。年度计划可根据当年重点建设任务做适当调整。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明确责任，细化落实。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明确分年度建设内容，细化、量化阶段和整体建设指标、重点任务、实施进度、保障措施，落实建设责任。</w:t>
      </w:r>
      <w:r>
        <w:rPr>
          <w:rFonts w:hint="eastAsia" w:asciiTheme="minorEastAsia" w:hAnsiTheme="minorEastAsia" w:eastAsiaTheme="minorEastAsia" w:cstheme="minorEastAsia"/>
          <w:sz w:val="24"/>
        </w:rPr>
        <w:t>学科要如期完成年度建设目标。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内涵发展，重在实效。非本学科人员的科研成果计算在内的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同一人员研究成果不能用于两个及以上重点学科的考核。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本表请用A4纸张双面打印，或A3中缝装订，不需另加封皮。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587" w:charSpace="2004"/>
        </w:sect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 xml:space="preserve">第三个建设期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学科建设目标（任务）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68"/>
        <w:gridCol w:w="3895"/>
        <w:gridCol w:w="118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10" w:type="pct"/>
            <w:gridSpan w:val="2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建设内容</w:t>
            </w:r>
          </w:p>
        </w:tc>
        <w:tc>
          <w:tcPr>
            <w:tcW w:w="2286" w:type="pct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主要建设指标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已有绩效</w:t>
            </w:r>
          </w:p>
        </w:tc>
        <w:tc>
          <w:tcPr>
            <w:tcW w:w="7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sz w:val="21"/>
                <w:szCs w:val="21"/>
                <w:lang w:val="en-US" w:eastAsia="zh-CN"/>
              </w:rPr>
              <w:t>当年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default" w:ascii="Times New Roman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sz w:val="21"/>
                <w:szCs w:val="21"/>
                <w:lang w:val="en-US" w:eastAsia="zh-CN"/>
              </w:rPr>
              <w:t>建设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10" w:type="pct"/>
            <w:gridSpan w:val="2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86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696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18"/>
                <w:szCs w:val="18"/>
              </w:rPr>
            </w:pPr>
          </w:p>
        </w:tc>
        <w:tc>
          <w:tcPr>
            <w:tcW w:w="707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队伍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与资源</w:t>
            </w:r>
          </w:p>
        </w:tc>
        <w:tc>
          <w:tcPr>
            <w:tcW w:w="803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团队规模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学科成员</w:t>
            </w:r>
            <w:r>
              <w:rPr>
                <w:sz w:val="21"/>
                <w:szCs w:val="21"/>
              </w:rPr>
              <w:t>总数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restart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高层次</w:t>
            </w:r>
          </w:p>
          <w:p>
            <w:pPr>
              <w:pStyle w:val="10"/>
              <w:snapToGrid w:val="0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人才团队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创新人才、团队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正高级职称数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副高级职称数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tcBorders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水平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与贡献</w:t>
            </w:r>
          </w:p>
        </w:tc>
        <w:tc>
          <w:tcPr>
            <w:tcW w:w="803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高级别项目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国家级</w:t>
            </w: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省部级</w:t>
            </w: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高水平论文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SCI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一到三区）</w:t>
            </w:r>
            <w:r>
              <w:rPr>
                <w:rFonts w:ascii="Times New Roman"/>
                <w:sz w:val="21"/>
                <w:szCs w:val="21"/>
              </w:rPr>
              <w:t>、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SSCI、A&amp;HCLI</w:t>
            </w:r>
            <w:r>
              <w:rPr>
                <w:rFonts w:ascii="Times New Roman"/>
                <w:sz w:val="21"/>
                <w:szCs w:val="21"/>
              </w:rPr>
              <w:t>源期刊论文数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SCI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四区）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EI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、CSSCI</w:t>
            </w:r>
            <w:r>
              <w:rPr>
                <w:rFonts w:ascii="Times New Roman"/>
                <w:sz w:val="21"/>
                <w:szCs w:val="21"/>
              </w:rPr>
              <w:t>源期刊论文数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CSCD源期刊核心库收录（不含拓展库）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北京大学出版社出版的《中文核心期刊要目总览》收录期刊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科研奖励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省级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科研成果</w:t>
            </w:r>
            <w:r>
              <w:rPr>
                <w:rFonts w:ascii="Times New Roman"/>
                <w:sz w:val="21"/>
                <w:szCs w:val="21"/>
              </w:rPr>
              <w:t>奖数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授权发明专利数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服务与能力</w:t>
            </w:r>
          </w:p>
        </w:tc>
        <w:tc>
          <w:tcPr>
            <w:tcW w:w="803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成果转化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横向科研经费数（万元）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开放合作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1"/>
                <w:sz w:val="21"/>
                <w:szCs w:val="21"/>
              </w:rPr>
              <w:t>举办</w:t>
            </w:r>
            <w:r>
              <w:rPr>
                <w:rFonts w:hint="eastAsia" w:ascii="Times New Roman"/>
                <w:kern w:val="1"/>
                <w:sz w:val="21"/>
                <w:szCs w:val="21"/>
                <w:lang w:val="en-US" w:eastAsia="zh-CN"/>
              </w:rPr>
              <w:t>省内、市内</w:t>
            </w:r>
            <w:r>
              <w:rPr>
                <w:rFonts w:ascii="Times New Roman"/>
                <w:kern w:val="1"/>
                <w:sz w:val="21"/>
                <w:szCs w:val="21"/>
              </w:rPr>
              <w:t>学术会议数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人才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与质量</w:t>
            </w:r>
          </w:p>
        </w:tc>
        <w:tc>
          <w:tcPr>
            <w:tcW w:w="803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教学成果奖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省级</w:t>
            </w:r>
            <w:r>
              <w:rPr>
                <w:rFonts w:ascii="Times New Roman"/>
                <w:sz w:val="21"/>
                <w:szCs w:val="21"/>
              </w:rPr>
              <w:t>教学成果奖数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 w:hAnsi="黑体" w:eastAsia="黑体" w:cs="黑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/>
                <w:sz w:val="21"/>
                <w:szCs w:val="21"/>
              </w:rPr>
              <w:t>级</w:t>
            </w:r>
            <w:r>
              <w:rPr>
                <w:rFonts w:ascii="Times New Roman"/>
                <w:sz w:val="21"/>
                <w:szCs w:val="21"/>
              </w:rPr>
              <w:t>教学成果奖数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 w:hAnsi="黑体" w:eastAsia="黑体" w:cs="黑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学位论文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省级优秀</w:t>
            </w:r>
            <w:r>
              <w:rPr>
                <w:rFonts w:hint="eastAsia" w:ascii="Times New Roman"/>
                <w:sz w:val="21"/>
                <w:szCs w:val="21"/>
              </w:rPr>
              <w:t>学位论文数</w:t>
            </w:r>
          </w:p>
        </w:tc>
        <w:tc>
          <w:tcPr>
            <w:tcW w:w="696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</w:p>
        </w:tc>
        <w:tc>
          <w:tcPr>
            <w:tcW w:w="803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科研平台</w:t>
            </w:r>
          </w:p>
        </w:tc>
        <w:tc>
          <w:tcPr>
            <w:tcW w:w="2286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省级科研平台、智库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right="-105" w:rightChars="-50"/>
              <w:rPr>
                <w:rFonts w:hint="eastAsia" w:ascii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000" w:type="pct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 w:eastAsia="楷体_GB2312"/>
                <w:kern w:val="2"/>
                <w:sz w:val="21"/>
                <w:szCs w:val="21"/>
              </w:rPr>
            </w:pPr>
            <w:r>
              <w:rPr>
                <w:rFonts w:ascii="Times New Roman" w:eastAsia="楷体_GB2312"/>
                <w:kern w:val="2"/>
                <w:sz w:val="21"/>
                <w:szCs w:val="21"/>
              </w:rPr>
              <w:t>注：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 xml:space="preserve">① 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建设目标指标栏请填写具体数字。</w:t>
            </w:r>
          </w:p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 w:eastAsia="楷体_GB2312"/>
                <w:kern w:val="2"/>
                <w:sz w:val="21"/>
                <w:szCs w:val="21"/>
              </w:rPr>
            </w:pP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 xml:space="preserve">    ② 重要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建设指标栏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请勿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空缺，若无，请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在对应的合计栏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填写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数字</w:t>
            </w:r>
            <w:r>
              <w:rPr>
                <w:rFonts w:hAnsi="宋体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0</w:t>
            </w:r>
            <w:r>
              <w:rPr>
                <w:rFonts w:hAnsi="宋体"/>
                <w:kern w:val="2"/>
                <w:sz w:val="21"/>
                <w:szCs w:val="21"/>
              </w:rPr>
              <w:t>”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。</w:t>
            </w:r>
          </w:p>
          <w:p>
            <w:pPr>
              <w:pStyle w:val="10"/>
              <w:snapToGrid w:val="0"/>
              <w:spacing w:before="0" w:after="0" w:line="240" w:lineRule="auto"/>
              <w:ind w:firstLine="420"/>
              <w:rPr>
                <w:rFonts w:ascii="Times New Roman" w:eastAsia="楷体_GB2312"/>
                <w:kern w:val="2"/>
                <w:sz w:val="21"/>
                <w:szCs w:val="21"/>
              </w:rPr>
            </w:pP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 xml:space="preserve">③ 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各类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论文、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成果均限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填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本学科成员第一完成人，且我校为第一单位。</w:t>
            </w:r>
          </w:p>
          <w:p>
            <w:pPr>
              <w:pStyle w:val="10"/>
              <w:snapToGrid w:val="0"/>
              <w:spacing w:before="0" w:after="0" w:line="240" w:lineRule="auto"/>
              <w:ind w:firstLine="420"/>
              <w:rPr>
                <w:rFonts w:hint="default" w:ascii="Times New Roman" w:eastAsia="楷体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楷体_GB2312"/>
                <w:kern w:val="2"/>
                <w:sz w:val="21"/>
                <w:szCs w:val="21"/>
                <w:lang w:val="en-US" w:eastAsia="zh-CN"/>
              </w:rPr>
              <w:t>④ “其他”由各学科组根据本学科发展需要科学制定。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3A3974-B7A0-4A01-B4C3-C38B7B7FA3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2D682F-92AC-4B12-923D-41D4E42B3A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90C766-3CC7-47AD-B32C-BF2B8E1CA7F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84AC4E8-D4E7-4678-86D0-7B8712A82F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5C82643-4558-4039-83D1-72F8056E4C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936421A-E5A9-40F2-8EFD-FC6EE845E4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462F8"/>
    <w:multiLevelType w:val="singleLevel"/>
    <w:tmpl w:val="056462F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242C616C"/>
    <w:rsid w:val="0BD14F70"/>
    <w:rsid w:val="16FB285A"/>
    <w:rsid w:val="242C616C"/>
    <w:rsid w:val="436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标准"/>
    <w:basedOn w:val="1"/>
    <w:qFormat/>
    <w:uiPriority w:val="0"/>
    <w:pPr>
      <w:widowControl/>
      <w:adjustRightInd w:val="0"/>
      <w:spacing w:before="120" w:after="120" w:line="312" w:lineRule="atLeast"/>
      <w:jc w:val="left"/>
    </w:pPr>
    <w:rPr>
      <w:rFonts w:ascii="宋体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994</Characters>
  <Lines>0</Lines>
  <Paragraphs>0</Paragraphs>
  <TotalTime>1</TotalTime>
  <ScaleCrop>false</ScaleCrop>
  <LinksUpToDate>false</LinksUpToDate>
  <CharactersWithSpaces>1017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2022-07-26T05:27:00Z</dcterms:created>
  <dc:creator>教务处</dc:creator>
  <cp:lastModifiedBy>Samira</cp:lastModifiedBy>
  <dcterms:modified xsi:type="dcterms:W3CDTF">2024-06-05T02:44:37Z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F1D6CC33B3754F6296960F7D9AAD9E2C_13</vt:lpwstr>
  </property>
</Properties>
</file>