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F14CB">
      <w:pPr>
        <w:spacing w:before="101" w:line="230" w:lineRule="auto"/>
        <w:ind w:left="2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5CCA043E">
      <w:pPr>
        <w:spacing w:line="300" w:lineRule="auto"/>
        <w:rPr>
          <w:rFonts w:ascii="Arial"/>
          <w:sz w:val="21"/>
        </w:rPr>
      </w:pPr>
    </w:p>
    <w:p w14:paraId="273195A1">
      <w:pPr>
        <w:spacing w:line="300" w:lineRule="auto"/>
        <w:rPr>
          <w:rFonts w:ascii="Arial"/>
          <w:sz w:val="21"/>
        </w:rPr>
      </w:pPr>
    </w:p>
    <w:p w14:paraId="6C815E33">
      <w:pPr>
        <w:spacing w:before="140" w:line="249" w:lineRule="auto"/>
        <w:ind w:left="2767" w:right="879" w:hanging="1871"/>
        <w:outlineLvl w:val="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2"/>
          <w:sz w:val="43"/>
          <w:szCs w:val="43"/>
        </w:rPr>
        <w:t>河南省教育厅</w:t>
      </w:r>
      <w:r>
        <w:rPr>
          <w:rFonts w:ascii="宋体" w:hAnsi="宋体" w:eastAsia="宋体" w:cs="宋体"/>
          <w:spacing w:val="-6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2025</w:t>
      </w:r>
      <w:r>
        <w:rPr>
          <w:rFonts w:ascii="宋体" w:hAnsi="宋体" w:eastAsia="宋体" w:cs="宋体"/>
          <w:spacing w:val="-12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年度教育财务管理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科研项目选题指南</w:t>
      </w:r>
    </w:p>
    <w:bookmarkEnd w:id="0"/>
    <w:p w14:paraId="77E92B42">
      <w:pPr>
        <w:spacing w:line="348" w:lineRule="auto"/>
        <w:rPr>
          <w:rFonts w:ascii="Arial"/>
          <w:sz w:val="21"/>
        </w:rPr>
      </w:pPr>
    </w:p>
    <w:p w14:paraId="501EFAB2">
      <w:pPr>
        <w:spacing w:before="92" w:line="212" w:lineRule="auto"/>
        <w:ind w:left="19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一、资助性项目（原题申报）</w:t>
      </w:r>
    </w:p>
    <w:tbl>
      <w:tblPr>
        <w:tblStyle w:val="6"/>
        <w:tblW w:w="900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6758"/>
        <w:gridCol w:w="1358"/>
      </w:tblGrid>
      <w:tr w14:paraId="548F2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7B216028">
            <w:pPr>
              <w:spacing w:before="112" w:line="231" w:lineRule="auto"/>
              <w:ind w:left="20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6758" w:type="dxa"/>
            <w:vAlign w:val="top"/>
          </w:tcPr>
          <w:p w14:paraId="52FECAFE">
            <w:pPr>
              <w:spacing w:before="111" w:line="230" w:lineRule="auto"/>
              <w:ind w:left="290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项目名称</w:t>
            </w:r>
          </w:p>
        </w:tc>
        <w:tc>
          <w:tcPr>
            <w:tcW w:w="1358" w:type="dxa"/>
            <w:tcBorders>
              <w:right w:val="single" w:color="000000" w:sz="6" w:space="0"/>
            </w:tcBorders>
            <w:vAlign w:val="top"/>
          </w:tcPr>
          <w:p w14:paraId="429E30A6">
            <w:pPr>
              <w:spacing w:before="111" w:line="230" w:lineRule="auto"/>
              <w:ind w:left="4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</w:tc>
      </w:tr>
      <w:tr w14:paraId="4AA12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3547BF48">
            <w:pPr>
              <w:rPr>
                <w:rFonts w:ascii="Arial"/>
                <w:sz w:val="21"/>
              </w:rPr>
            </w:pPr>
          </w:p>
        </w:tc>
        <w:tc>
          <w:tcPr>
            <w:tcW w:w="6758" w:type="dxa"/>
            <w:vAlign w:val="top"/>
          </w:tcPr>
          <w:p w14:paraId="1ECFFFC3">
            <w:pPr>
              <w:pStyle w:val="7"/>
              <w:spacing w:before="108" w:line="226" w:lineRule="auto"/>
              <w:ind w:left="2558"/>
            </w:pPr>
            <w:r>
              <w:rPr>
                <w:spacing w:val="-1"/>
              </w:rPr>
              <w:t>（一）重点项目</w:t>
            </w:r>
          </w:p>
        </w:tc>
        <w:tc>
          <w:tcPr>
            <w:tcW w:w="1358" w:type="dxa"/>
            <w:tcBorders>
              <w:right w:val="single" w:color="000000" w:sz="6" w:space="0"/>
            </w:tcBorders>
            <w:vAlign w:val="top"/>
          </w:tcPr>
          <w:p w14:paraId="4E01F8F5">
            <w:pPr>
              <w:rPr>
                <w:rFonts w:ascii="Arial"/>
                <w:sz w:val="21"/>
              </w:rPr>
            </w:pPr>
          </w:p>
        </w:tc>
      </w:tr>
      <w:tr w14:paraId="7FDB2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263A0A7C">
            <w:pPr>
              <w:pStyle w:val="7"/>
              <w:spacing w:before="152" w:line="185" w:lineRule="auto"/>
              <w:ind w:left="402"/>
            </w:pPr>
            <w:r>
              <w:t>1</w:t>
            </w:r>
          </w:p>
        </w:tc>
        <w:tc>
          <w:tcPr>
            <w:tcW w:w="6758" w:type="dxa"/>
            <w:vAlign w:val="top"/>
          </w:tcPr>
          <w:p w14:paraId="0B7B3ACC">
            <w:pPr>
              <w:pStyle w:val="7"/>
              <w:spacing w:before="111" w:line="224" w:lineRule="auto"/>
              <w:ind w:left="114"/>
            </w:pPr>
            <w:r>
              <w:rPr>
                <w:spacing w:val="8"/>
              </w:rPr>
              <w:t>教育经费分配机制优化与动态调整研究</w:t>
            </w:r>
          </w:p>
        </w:tc>
        <w:tc>
          <w:tcPr>
            <w:tcW w:w="1358" w:type="dxa"/>
            <w:tcBorders>
              <w:right w:val="single" w:color="000000" w:sz="6" w:space="0"/>
            </w:tcBorders>
            <w:vAlign w:val="top"/>
          </w:tcPr>
          <w:p w14:paraId="611C0309">
            <w:pPr>
              <w:rPr>
                <w:rFonts w:ascii="Arial"/>
                <w:sz w:val="21"/>
              </w:rPr>
            </w:pPr>
          </w:p>
        </w:tc>
      </w:tr>
      <w:tr w14:paraId="19999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51277D37">
            <w:pPr>
              <w:pStyle w:val="7"/>
              <w:spacing w:before="153" w:line="184" w:lineRule="auto"/>
              <w:ind w:left="387"/>
            </w:pPr>
            <w:r>
              <w:t>2</w:t>
            </w:r>
          </w:p>
        </w:tc>
        <w:tc>
          <w:tcPr>
            <w:tcW w:w="6758" w:type="dxa"/>
            <w:vAlign w:val="top"/>
          </w:tcPr>
          <w:p w14:paraId="0613DCD2">
            <w:pPr>
              <w:pStyle w:val="7"/>
              <w:spacing w:before="109" w:line="224" w:lineRule="auto"/>
              <w:ind w:left="115"/>
            </w:pPr>
            <w:r>
              <w:rPr>
                <w:spacing w:val="8"/>
              </w:rPr>
              <w:t>基于风险控制视角的单位内控体系优化研究</w:t>
            </w:r>
          </w:p>
        </w:tc>
        <w:tc>
          <w:tcPr>
            <w:tcW w:w="1358" w:type="dxa"/>
            <w:tcBorders>
              <w:right w:val="single" w:color="000000" w:sz="6" w:space="0"/>
            </w:tcBorders>
            <w:vAlign w:val="top"/>
          </w:tcPr>
          <w:p w14:paraId="2409E413">
            <w:pPr>
              <w:rPr>
                <w:rFonts w:ascii="Arial"/>
                <w:sz w:val="21"/>
              </w:rPr>
            </w:pPr>
          </w:p>
        </w:tc>
      </w:tr>
      <w:tr w14:paraId="0CC82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1C5A8ADE">
            <w:pPr>
              <w:pStyle w:val="7"/>
              <w:spacing w:before="153" w:line="184" w:lineRule="auto"/>
              <w:ind w:left="389"/>
            </w:pPr>
            <w:r>
              <w:t>3</w:t>
            </w:r>
          </w:p>
        </w:tc>
        <w:tc>
          <w:tcPr>
            <w:tcW w:w="6758" w:type="dxa"/>
            <w:vAlign w:val="top"/>
          </w:tcPr>
          <w:p w14:paraId="1F8D71B5">
            <w:pPr>
              <w:pStyle w:val="7"/>
              <w:spacing w:before="110" w:line="223" w:lineRule="auto"/>
              <w:ind w:left="122"/>
            </w:pPr>
            <w:r>
              <w:rPr>
                <w:spacing w:val="8"/>
              </w:rPr>
              <w:t>高校经济决策实施效果评估与优化建议研究</w:t>
            </w:r>
          </w:p>
        </w:tc>
        <w:tc>
          <w:tcPr>
            <w:tcW w:w="1358" w:type="dxa"/>
            <w:tcBorders>
              <w:right w:val="single" w:color="000000" w:sz="6" w:space="0"/>
            </w:tcBorders>
            <w:vAlign w:val="top"/>
          </w:tcPr>
          <w:p w14:paraId="74F19E75">
            <w:pPr>
              <w:rPr>
                <w:rFonts w:ascii="Arial"/>
                <w:sz w:val="21"/>
              </w:rPr>
            </w:pPr>
          </w:p>
        </w:tc>
      </w:tr>
      <w:tr w14:paraId="27AB8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30D2C2DC">
            <w:pPr>
              <w:pStyle w:val="7"/>
              <w:spacing w:before="154" w:line="184" w:lineRule="auto"/>
              <w:ind w:left="383"/>
            </w:pPr>
            <w:r>
              <w:t>4</w:t>
            </w:r>
          </w:p>
        </w:tc>
        <w:tc>
          <w:tcPr>
            <w:tcW w:w="6758" w:type="dxa"/>
            <w:vAlign w:val="top"/>
          </w:tcPr>
          <w:p w14:paraId="0C7E9B1A">
            <w:pPr>
              <w:pStyle w:val="7"/>
              <w:spacing w:before="112" w:line="222" w:lineRule="auto"/>
              <w:ind w:left="117"/>
            </w:pPr>
            <w:r>
              <w:rPr>
                <w:spacing w:val="8"/>
              </w:rPr>
              <w:t>大数据与人工智能在教育财务管理中的应用研究</w:t>
            </w:r>
          </w:p>
        </w:tc>
        <w:tc>
          <w:tcPr>
            <w:tcW w:w="1358" w:type="dxa"/>
            <w:tcBorders>
              <w:right w:val="single" w:color="000000" w:sz="6" w:space="0"/>
            </w:tcBorders>
            <w:vAlign w:val="top"/>
          </w:tcPr>
          <w:p w14:paraId="1ED28CB8">
            <w:pPr>
              <w:rPr>
                <w:rFonts w:ascii="Arial"/>
                <w:sz w:val="21"/>
              </w:rPr>
            </w:pPr>
          </w:p>
        </w:tc>
      </w:tr>
      <w:tr w14:paraId="23F57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3C7B4EE3">
            <w:pPr>
              <w:pStyle w:val="7"/>
              <w:spacing w:before="157" w:line="182" w:lineRule="auto"/>
              <w:ind w:left="389"/>
            </w:pPr>
            <w:r>
              <w:t>5</w:t>
            </w:r>
          </w:p>
        </w:tc>
        <w:tc>
          <w:tcPr>
            <w:tcW w:w="6758" w:type="dxa"/>
            <w:vAlign w:val="top"/>
          </w:tcPr>
          <w:p w14:paraId="359E2B99">
            <w:pPr>
              <w:pStyle w:val="7"/>
              <w:spacing w:before="111" w:line="224" w:lineRule="auto"/>
              <w:ind w:left="115"/>
            </w:pPr>
            <w:r>
              <w:rPr>
                <w:spacing w:val="8"/>
              </w:rPr>
              <w:t>事业单位低效资产盘活路径探索与实践</w:t>
            </w:r>
          </w:p>
        </w:tc>
        <w:tc>
          <w:tcPr>
            <w:tcW w:w="1358" w:type="dxa"/>
            <w:tcBorders>
              <w:right w:val="single" w:color="000000" w:sz="6" w:space="0"/>
            </w:tcBorders>
            <w:vAlign w:val="top"/>
          </w:tcPr>
          <w:p w14:paraId="312F9AC1">
            <w:pPr>
              <w:rPr>
                <w:rFonts w:ascii="Arial"/>
                <w:sz w:val="21"/>
              </w:rPr>
            </w:pPr>
          </w:p>
        </w:tc>
      </w:tr>
      <w:tr w14:paraId="1B4A0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209C6F88">
            <w:pPr>
              <w:pStyle w:val="7"/>
              <w:spacing w:before="153" w:line="184" w:lineRule="auto"/>
              <w:ind w:left="386"/>
            </w:pPr>
            <w:r>
              <w:t>6</w:t>
            </w:r>
          </w:p>
        </w:tc>
        <w:tc>
          <w:tcPr>
            <w:tcW w:w="6758" w:type="dxa"/>
            <w:vAlign w:val="top"/>
          </w:tcPr>
          <w:p w14:paraId="5A60647D">
            <w:pPr>
              <w:pStyle w:val="7"/>
              <w:spacing w:before="111" w:line="224" w:lineRule="auto"/>
              <w:ind w:left="118"/>
            </w:pPr>
            <w:r>
              <w:rPr>
                <w:spacing w:val="8"/>
              </w:rPr>
              <w:t>人口变化背景下基础教育投入机制应对路径研究</w:t>
            </w:r>
          </w:p>
        </w:tc>
        <w:tc>
          <w:tcPr>
            <w:tcW w:w="1358" w:type="dxa"/>
            <w:tcBorders>
              <w:right w:val="single" w:color="000000" w:sz="6" w:space="0"/>
            </w:tcBorders>
            <w:vAlign w:val="top"/>
          </w:tcPr>
          <w:p w14:paraId="5DD42955">
            <w:pPr>
              <w:rPr>
                <w:rFonts w:ascii="Arial"/>
                <w:sz w:val="21"/>
              </w:rPr>
            </w:pPr>
          </w:p>
        </w:tc>
      </w:tr>
      <w:tr w14:paraId="5EE5D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47C1B8EE">
            <w:pPr>
              <w:pStyle w:val="7"/>
              <w:spacing w:before="158" w:line="182" w:lineRule="auto"/>
              <w:ind w:left="390"/>
            </w:pPr>
            <w:r>
              <w:t>7</w:t>
            </w:r>
          </w:p>
        </w:tc>
        <w:tc>
          <w:tcPr>
            <w:tcW w:w="6758" w:type="dxa"/>
            <w:vAlign w:val="top"/>
          </w:tcPr>
          <w:p w14:paraId="73EACFF1">
            <w:pPr>
              <w:pStyle w:val="7"/>
              <w:spacing w:before="114" w:line="224" w:lineRule="auto"/>
              <w:ind w:left="145"/>
            </w:pPr>
            <w:r>
              <w:rPr>
                <w:spacing w:val="7"/>
              </w:rPr>
              <w:t>民办高校财务风险评价与预警机制构建研究</w:t>
            </w:r>
          </w:p>
        </w:tc>
        <w:tc>
          <w:tcPr>
            <w:tcW w:w="1358" w:type="dxa"/>
            <w:tcBorders>
              <w:right w:val="single" w:color="000000" w:sz="6" w:space="0"/>
            </w:tcBorders>
            <w:vAlign w:val="top"/>
          </w:tcPr>
          <w:p w14:paraId="6B94205A">
            <w:pPr>
              <w:rPr>
                <w:rFonts w:ascii="Arial"/>
                <w:sz w:val="21"/>
              </w:rPr>
            </w:pPr>
          </w:p>
        </w:tc>
      </w:tr>
      <w:tr w14:paraId="32276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7D2A75CF">
            <w:pPr>
              <w:pStyle w:val="7"/>
              <w:spacing w:before="141" w:line="184" w:lineRule="auto"/>
              <w:ind w:left="385"/>
            </w:pPr>
            <w:r>
              <w:t>8</w:t>
            </w:r>
          </w:p>
        </w:tc>
        <w:tc>
          <w:tcPr>
            <w:tcW w:w="6758" w:type="dxa"/>
            <w:vAlign w:val="top"/>
          </w:tcPr>
          <w:p w14:paraId="406C37C8">
            <w:pPr>
              <w:pStyle w:val="7"/>
              <w:spacing w:before="98" w:line="224" w:lineRule="auto"/>
              <w:ind w:left="122"/>
            </w:pPr>
            <w:r>
              <w:rPr>
                <w:spacing w:val="8"/>
              </w:rPr>
              <w:t>高校重大经济活动治理与风险防范研究</w:t>
            </w:r>
          </w:p>
        </w:tc>
        <w:tc>
          <w:tcPr>
            <w:tcW w:w="1358" w:type="dxa"/>
            <w:tcBorders>
              <w:right w:val="single" w:color="000000" w:sz="6" w:space="0"/>
            </w:tcBorders>
            <w:vAlign w:val="top"/>
          </w:tcPr>
          <w:p w14:paraId="47CCB110">
            <w:pPr>
              <w:rPr>
                <w:rFonts w:ascii="Arial"/>
                <w:sz w:val="21"/>
              </w:rPr>
            </w:pPr>
          </w:p>
        </w:tc>
      </w:tr>
      <w:tr w14:paraId="634B3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6CE0981E">
            <w:pPr>
              <w:pStyle w:val="7"/>
              <w:spacing w:before="157" w:line="184" w:lineRule="auto"/>
              <w:ind w:left="385"/>
            </w:pPr>
            <w:r>
              <w:t>9</w:t>
            </w:r>
          </w:p>
        </w:tc>
        <w:tc>
          <w:tcPr>
            <w:tcW w:w="6758" w:type="dxa"/>
            <w:vAlign w:val="top"/>
          </w:tcPr>
          <w:p w14:paraId="52CFCC92">
            <w:pPr>
              <w:pStyle w:val="7"/>
              <w:spacing w:before="115" w:line="224" w:lineRule="auto"/>
              <w:ind w:left="122"/>
            </w:pPr>
            <w:r>
              <w:rPr>
                <w:spacing w:val="8"/>
              </w:rPr>
              <w:t>高校内部审计发现问题整改精细化路径研究</w:t>
            </w:r>
          </w:p>
        </w:tc>
        <w:tc>
          <w:tcPr>
            <w:tcW w:w="1358" w:type="dxa"/>
            <w:tcBorders>
              <w:right w:val="single" w:color="000000" w:sz="6" w:space="0"/>
            </w:tcBorders>
            <w:vAlign w:val="top"/>
          </w:tcPr>
          <w:p w14:paraId="1636E76A">
            <w:pPr>
              <w:rPr>
                <w:rFonts w:ascii="Arial"/>
                <w:sz w:val="21"/>
              </w:rPr>
            </w:pPr>
          </w:p>
        </w:tc>
      </w:tr>
      <w:tr w14:paraId="74BE1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7C7F783F">
            <w:pPr>
              <w:pStyle w:val="7"/>
              <w:spacing w:before="157" w:line="184" w:lineRule="auto"/>
              <w:ind w:left="342"/>
            </w:pPr>
            <w:r>
              <w:rPr>
                <w:spacing w:val="-10"/>
              </w:rPr>
              <w:t>10</w:t>
            </w:r>
          </w:p>
        </w:tc>
        <w:tc>
          <w:tcPr>
            <w:tcW w:w="6758" w:type="dxa"/>
            <w:vAlign w:val="top"/>
          </w:tcPr>
          <w:p w14:paraId="0785C3C6">
            <w:pPr>
              <w:pStyle w:val="7"/>
              <w:spacing w:before="115" w:line="225" w:lineRule="auto"/>
              <w:ind w:left="116"/>
            </w:pPr>
            <w:r>
              <w:rPr>
                <w:spacing w:val="9"/>
              </w:rPr>
              <w:t>产教融合背景下职业教育收费政策优化路径</w:t>
            </w:r>
            <w:r>
              <w:rPr>
                <w:spacing w:val="8"/>
              </w:rPr>
              <w:t>研究</w:t>
            </w:r>
          </w:p>
        </w:tc>
        <w:tc>
          <w:tcPr>
            <w:tcW w:w="1358" w:type="dxa"/>
            <w:tcBorders>
              <w:right w:val="single" w:color="000000" w:sz="6" w:space="0"/>
            </w:tcBorders>
            <w:vAlign w:val="top"/>
          </w:tcPr>
          <w:p w14:paraId="24F19531">
            <w:pPr>
              <w:rPr>
                <w:rFonts w:ascii="Arial"/>
                <w:sz w:val="21"/>
              </w:rPr>
            </w:pPr>
          </w:p>
        </w:tc>
      </w:tr>
      <w:tr w14:paraId="05493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92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07819A9C">
            <w:pPr>
              <w:rPr>
                <w:rFonts w:ascii="Arial"/>
                <w:sz w:val="21"/>
              </w:rPr>
            </w:pPr>
          </w:p>
        </w:tc>
        <w:tc>
          <w:tcPr>
            <w:tcW w:w="6758" w:type="dxa"/>
            <w:tcBorders>
              <w:bottom w:val="single" w:color="000000" w:sz="6" w:space="0"/>
            </w:tcBorders>
            <w:vAlign w:val="top"/>
          </w:tcPr>
          <w:p w14:paraId="26B08066">
            <w:pPr>
              <w:pStyle w:val="7"/>
              <w:spacing w:before="144" w:line="226" w:lineRule="auto"/>
              <w:ind w:left="2558"/>
            </w:pPr>
            <w:r>
              <w:rPr>
                <w:spacing w:val="6"/>
              </w:rPr>
              <w:t>（二）一般项目</w:t>
            </w:r>
          </w:p>
        </w:tc>
        <w:tc>
          <w:tcPr>
            <w:tcW w:w="135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D77494B">
            <w:pPr>
              <w:rPr>
                <w:rFonts w:ascii="Arial"/>
                <w:sz w:val="21"/>
              </w:rPr>
            </w:pPr>
          </w:p>
        </w:tc>
      </w:tr>
      <w:tr w14:paraId="0F19B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17D88178">
            <w:pPr>
              <w:pStyle w:val="7"/>
              <w:spacing w:before="153" w:line="185" w:lineRule="auto"/>
              <w:ind w:left="402"/>
            </w:pPr>
            <w:r>
              <w:t>1</w:t>
            </w:r>
          </w:p>
        </w:tc>
        <w:tc>
          <w:tcPr>
            <w:tcW w:w="675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FAD5F2A">
            <w:pPr>
              <w:pStyle w:val="7"/>
              <w:spacing w:before="112" w:line="224" w:lineRule="auto"/>
              <w:ind w:left="114"/>
            </w:pPr>
            <w:r>
              <w:rPr>
                <w:spacing w:val="9"/>
              </w:rPr>
              <w:t>新型研究型大学可持续发展的投入机制研究</w:t>
            </w:r>
          </w:p>
        </w:tc>
        <w:tc>
          <w:tcPr>
            <w:tcW w:w="13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B126B11">
            <w:pPr>
              <w:rPr>
                <w:rFonts w:ascii="Arial"/>
                <w:sz w:val="21"/>
              </w:rPr>
            </w:pPr>
          </w:p>
        </w:tc>
      </w:tr>
      <w:tr w14:paraId="39A4B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0226A6F0">
            <w:pPr>
              <w:pStyle w:val="7"/>
              <w:spacing w:before="123" w:line="184" w:lineRule="auto"/>
              <w:ind w:left="387"/>
            </w:pPr>
            <w:r>
              <w:t>2</w:t>
            </w:r>
          </w:p>
        </w:tc>
        <w:tc>
          <w:tcPr>
            <w:tcW w:w="675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57C1969">
            <w:pPr>
              <w:pStyle w:val="7"/>
              <w:spacing w:before="81" w:line="224" w:lineRule="auto"/>
              <w:ind w:left="119"/>
            </w:pPr>
            <w:r>
              <w:rPr>
                <w:spacing w:val="8"/>
              </w:rPr>
              <w:t>城乡学校经费分配差异及优化策略研究</w:t>
            </w:r>
          </w:p>
        </w:tc>
        <w:tc>
          <w:tcPr>
            <w:tcW w:w="13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9448521">
            <w:pPr>
              <w:rPr>
                <w:rFonts w:ascii="Arial"/>
                <w:sz w:val="21"/>
              </w:rPr>
            </w:pPr>
          </w:p>
        </w:tc>
      </w:tr>
      <w:tr w14:paraId="50059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536CB6A3">
            <w:pPr>
              <w:pStyle w:val="7"/>
              <w:spacing w:before="157" w:line="184" w:lineRule="auto"/>
              <w:ind w:left="389"/>
            </w:pPr>
            <w:r>
              <w:t>3</w:t>
            </w:r>
          </w:p>
        </w:tc>
        <w:tc>
          <w:tcPr>
            <w:tcW w:w="675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0722124">
            <w:pPr>
              <w:pStyle w:val="7"/>
              <w:spacing w:before="115" w:line="222" w:lineRule="auto"/>
              <w:ind w:left="117"/>
            </w:pPr>
            <w:r>
              <w:rPr>
                <w:spacing w:val="8"/>
              </w:rPr>
              <w:t>普通高中多样化高质量发展的投入机制研究</w:t>
            </w:r>
          </w:p>
        </w:tc>
        <w:tc>
          <w:tcPr>
            <w:tcW w:w="13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AA2BCE2">
            <w:pPr>
              <w:rPr>
                <w:rFonts w:ascii="Arial"/>
                <w:sz w:val="21"/>
              </w:rPr>
            </w:pPr>
          </w:p>
        </w:tc>
      </w:tr>
      <w:tr w14:paraId="20BAC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4E3ABCA1">
            <w:pPr>
              <w:pStyle w:val="7"/>
              <w:spacing w:before="157" w:line="184" w:lineRule="auto"/>
              <w:ind w:left="383"/>
            </w:pPr>
            <w:r>
              <w:t>4</w:t>
            </w:r>
          </w:p>
        </w:tc>
        <w:tc>
          <w:tcPr>
            <w:tcW w:w="675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E7D5AF7">
            <w:pPr>
              <w:pStyle w:val="7"/>
              <w:spacing w:before="114" w:line="224" w:lineRule="auto"/>
              <w:ind w:left="122"/>
            </w:pPr>
            <w:r>
              <w:rPr>
                <w:spacing w:val="8"/>
              </w:rPr>
              <w:t>高校经费使用与区域经济协调发展长效机制研究</w:t>
            </w:r>
          </w:p>
        </w:tc>
        <w:tc>
          <w:tcPr>
            <w:tcW w:w="13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DFD789B">
            <w:pPr>
              <w:rPr>
                <w:rFonts w:ascii="Arial"/>
                <w:sz w:val="21"/>
              </w:rPr>
            </w:pPr>
          </w:p>
        </w:tc>
      </w:tr>
      <w:tr w14:paraId="7C87F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7079C688">
            <w:pPr>
              <w:pStyle w:val="7"/>
              <w:spacing w:before="161" w:line="182" w:lineRule="auto"/>
              <w:ind w:left="389"/>
            </w:pPr>
            <w:r>
              <w:t>5</w:t>
            </w:r>
          </w:p>
        </w:tc>
        <w:tc>
          <w:tcPr>
            <w:tcW w:w="675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98BC2F4">
            <w:pPr>
              <w:pStyle w:val="7"/>
              <w:spacing w:before="116" w:line="224" w:lineRule="auto"/>
              <w:ind w:left="115"/>
            </w:pPr>
            <w:r>
              <w:rPr>
                <w:spacing w:val="9"/>
              </w:rPr>
              <w:t>经济波动对教育经费投入的影响及应对策略研究</w:t>
            </w:r>
          </w:p>
        </w:tc>
        <w:tc>
          <w:tcPr>
            <w:tcW w:w="13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C04F3D5">
            <w:pPr>
              <w:rPr>
                <w:rFonts w:ascii="Arial"/>
                <w:sz w:val="21"/>
              </w:rPr>
            </w:pPr>
          </w:p>
        </w:tc>
      </w:tr>
      <w:tr w14:paraId="5DA64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2E3296D6">
            <w:pPr>
              <w:pStyle w:val="7"/>
              <w:spacing w:before="158" w:line="184" w:lineRule="auto"/>
              <w:ind w:left="386"/>
            </w:pPr>
            <w:r>
              <w:t>6</w:t>
            </w:r>
          </w:p>
        </w:tc>
        <w:tc>
          <w:tcPr>
            <w:tcW w:w="675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FD8A78B">
            <w:pPr>
              <w:pStyle w:val="7"/>
              <w:spacing w:before="115" w:line="224" w:lineRule="auto"/>
              <w:ind w:left="114"/>
            </w:pPr>
            <w:r>
              <w:rPr>
                <w:spacing w:val="8"/>
              </w:rPr>
              <w:t>教育经费统计数据分析与实践应用研究</w:t>
            </w:r>
          </w:p>
        </w:tc>
        <w:tc>
          <w:tcPr>
            <w:tcW w:w="13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9C8B326">
            <w:pPr>
              <w:rPr>
                <w:rFonts w:ascii="Arial"/>
                <w:sz w:val="21"/>
              </w:rPr>
            </w:pPr>
          </w:p>
        </w:tc>
      </w:tr>
      <w:tr w14:paraId="7C062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1F2F92C6">
            <w:pPr>
              <w:pStyle w:val="7"/>
              <w:spacing w:before="162" w:line="182" w:lineRule="auto"/>
              <w:ind w:left="390"/>
            </w:pPr>
            <w:r>
              <w:t>7</w:t>
            </w:r>
          </w:p>
        </w:tc>
        <w:tc>
          <w:tcPr>
            <w:tcW w:w="675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FF65043">
            <w:pPr>
              <w:pStyle w:val="7"/>
              <w:spacing w:before="117" w:line="224" w:lineRule="auto"/>
              <w:ind w:left="122"/>
            </w:pPr>
            <w:r>
              <w:rPr>
                <w:spacing w:val="8"/>
              </w:rPr>
              <w:t>高校生均培养成本资源配置研究</w:t>
            </w:r>
          </w:p>
        </w:tc>
        <w:tc>
          <w:tcPr>
            <w:tcW w:w="13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7E68659">
            <w:pPr>
              <w:rPr>
                <w:rFonts w:ascii="Arial"/>
                <w:sz w:val="21"/>
              </w:rPr>
            </w:pPr>
          </w:p>
        </w:tc>
      </w:tr>
    </w:tbl>
    <w:p w14:paraId="4DF47296">
      <w:pPr>
        <w:spacing w:line="114" w:lineRule="exact"/>
        <w:rPr>
          <w:rFonts w:ascii="Arial"/>
          <w:sz w:val="9"/>
        </w:rPr>
      </w:pPr>
    </w:p>
    <w:p w14:paraId="33181AA4">
      <w:pPr>
        <w:spacing w:line="114" w:lineRule="exact"/>
        <w:rPr>
          <w:rFonts w:ascii="Arial" w:hAnsi="Arial" w:eastAsia="Arial" w:cs="Arial"/>
          <w:sz w:val="9"/>
          <w:szCs w:val="9"/>
        </w:rPr>
        <w:sectPr>
          <w:footerReference r:id="rId5" w:type="default"/>
          <w:pgSz w:w="11906" w:h="16838"/>
          <w:pgMar w:top="1431" w:right="1469" w:bottom="1922" w:left="1413" w:header="0" w:footer="1637" w:gutter="0"/>
          <w:cols w:space="720" w:num="1"/>
        </w:sectPr>
      </w:pPr>
    </w:p>
    <w:p w14:paraId="47DDCA46">
      <w:pPr>
        <w:spacing w:before="38"/>
      </w:pPr>
    </w:p>
    <w:p w14:paraId="2EB5F368">
      <w:pPr>
        <w:spacing w:before="37"/>
      </w:pPr>
    </w:p>
    <w:p w14:paraId="1E55A92D">
      <w:pPr>
        <w:spacing w:before="37"/>
      </w:pPr>
    </w:p>
    <w:tbl>
      <w:tblPr>
        <w:tblStyle w:val="6"/>
        <w:tblW w:w="900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6758"/>
        <w:gridCol w:w="1358"/>
      </w:tblGrid>
      <w:tr w14:paraId="2B5C8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5DD4CA65">
            <w:pPr>
              <w:spacing w:before="121" w:line="231" w:lineRule="auto"/>
              <w:ind w:left="20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6758" w:type="dxa"/>
            <w:vAlign w:val="top"/>
          </w:tcPr>
          <w:p w14:paraId="5981BD6A">
            <w:pPr>
              <w:spacing w:before="120" w:line="230" w:lineRule="auto"/>
              <w:ind w:left="290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项目名称</w:t>
            </w:r>
          </w:p>
        </w:tc>
        <w:tc>
          <w:tcPr>
            <w:tcW w:w="1358" w:type="dxa"/>
            <w:tcBorders>
              <w:right w:val="single" w:color="000000" w:sz="6" w:space="0"/>
            </w:tcBorders>
            <w:vAlign w:val="top"/>
          </w:tcPr>
          <w:p w14:paraId="2D3E8795">
            <w:pPr>
              <w:spacing w:before="120" w:line="230" w:lineRule="auto"/>
              <w:ind w:left="4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</w:tc>
      </w:tr>
      <w:tr w14:paraId="6EEB1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92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64B0A1B8">
            <w:pPr>
              <w:pStyle w:val="7"/>
              <w:spacing w:before="151" w:line="184" w:lineRule="auto"/>
              <w:ind w:left="385"/>
            </w:pPr>
            <w:r>
              <w:t>8</w:t>
            </w:r>
          </w:p>
        </w:tc>
        <w:tc>
          <w:tcPr>
            <w:tcW w:w="6758" w:type="dxa"/>
            <w:tcBorders>
              <w:bottom w:val="single" w:color="000000" w:sz="6" w:space="0"/>
            </w:tcBorders>
            <w:vAlign w:val="top"/>
          </w:tcPr>
          <w:p w14:paraId="15D7119A">
            <w:pPr>
              <w:pStyle w:val="7"/>
              <w:spacing w:before="108" w:line="224" w:lineRule="auto"/>
              <w:ind w:left="117"/>
            </w:pPr>
            <w:r>
              <w:rPr>
                <w:spacing w:val="8"/>
              </w:rPr>
              <w:t>专门学校经费保障机制研究</w:t>
            </w:r>
          </w:p>
        </w:tc>
        <w:tc>
          <w:tcPr>
            <w:tcW w:w="135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E84B131">
            <w:pPr>
              <w:rPr>
                <w:rFonts w:ascii="Arial"/>
                <w:sz w:val="21"/>
              </w:rPr>
            </w:pPr>
          </w:p>
        </w:tc>
      </w:tr>
      <w:tr w14:paraId="15031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15E8E16A">
            <w:pPr>
              <w:pStyle w:val="7"/>
              <w:spacing w:before="145" w:line="184" w:lineRule="auto"/>
              <w:ind w:left="385"/>
            </w:pPr>
            <w:r>
              <w:t>9</w:t>
            </w:r>
          </w:p>
        </w:tc>
        <w:tc>
          <w:tcPr>
            <w:tcW w:w="675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FCA92D9">
            <w:pPr>
              <w:pStyle w:val="7"/>
              <w:spacing w:before="103" w:line="224" w:lineRule="auto"/>
              <w:ind w:left="145"/>
            </w:pPr>
            <w:r>
              <w:rPr>
                <w:spacing w:val="7"/>
              </w:rPr>
              <w:t>民办高校现代化财务治理体系路径研究</w:t>
            </w:r>
          </w:p>
        </w:tc>
        <w:tc>
          <w:tcPr>
            <w:tcW w:w="13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9C0A321">
            <w:pPr>
              <w:rPr>
                <w:rFonts w:ascii="Arial"/>
                <w:sz w:val="21"/>
              </w:rPr>
            </w:pPr>
          </w:p>
        </w:tc>
      </w:tr>
      <w:tr w14:paraId="383D1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4594BE14">
            <w:pPr>
              <w:pStyle w:val="7"/>
              <w:spacing w:before="147" w:line="184" w:lineRule="auto"/>
              <w:ind w:left="342"/>
            </w:pPr>
            <w:r>
              <w:rPr>
                <w:spacing w:val="-10"/>
              </w:rPr>
              <w:t>10</w:t>
            </w:r>
          </w:p>
        </w:tc>
        <w:tc>
          <w:tcPr>
            <w:tcW w:w="675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DF57BBC">
            <w:pPr>
              <w:pStyle w:val="7"/>
              <w:spacing w:before="104" w:line="223" w:lineRule="auto"/>
              <w:ind w:left="133"/>
            </w:pPr>
            <w:r>
              <w:rPr>
                <w:spacing w:val="8"/>
              </w:rPr>
              <w:t>审计监督与纪检监察、财会监督深入融合路径研究</w:t>
            </w:r>
          </w:p>
        </w:tc>
        <w:tc>
          <w:tcPr>
            <w:tcW w:w="13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CA9701E">
            <w:pPr>
              <w:rPr>
                <w:rFonts w:ascii="Arial"/>
                <w:sz w:val="21"/>
              </w:rPr>
            </w:pPr>
          </w:p>
        </w:tc>
      </w:tr>
      <w:tr w14:paraId="6089F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1C1D275E">
            <w:pPr>
              <w:pStyle w:val="7"/>
              <w:spacing w:before="146" w:line="185" w:lineRule="auto"/>
              <w:ind w:left="342"/>
            </w:pPr>
            <w:r>
              <w:rPr>
                <w:spacing w:val="-10"/>
              </w:rPr>
              <w:t>11</w:t>
            </w:r>
          </w:p>
        </w:tc>
        <w:tc>
          <w:tcPr>
            <w:tcW w:w="675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5FBAD36">
            <w:pPr>
              <w:pStyle w:val="7"/>
              <w:spacing w:before="105" w:line="224" w:lineRule="auto"/>
              <w:ind w:left="125"/>
            </w:pPr>
            <w:r>
              <w:rPr>
                <w:spacing w:val="9"/>
              </w:rPr>
              <w:t>学校内部资金分配机制设计与实施策略-基</w:t>
            </w:r>
            <w:r>
              <w:rPr>
                <w:spacing w:val="8"/>
              </w:rPr>
              <w:t>于支出预算标准化</w:t>
            </w:r>
          </w:p>
        </w:tc>
        <w:tc>
          <w:tcPr>
            <w:tcW w:w="13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8E3275A">
            <w:pPr>
              <w:rPr>
                <w:rFonts w:ascii="Arial"/>
                <w:sz w:val="21"/>
              </w:rPr>
            </w:pPr>
          </w:p>
        </w:tc>
      </w:tr>
      <w:tr w14:paraId="359C5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0EE04A7E">
            <w:pPr>
              <w:pStyle w:val="7"/>
              <w:spacing w:before="147" w:line="185" w:lineRule="auto"/>
              <w:ind w:left="342"/>
            </w:pPr>
            <w:r>
              <w:rPr>
                <w:spacing w:val="-10"/>
              </w:rPr>
              <w:t>12</w:t>
            </w:r>
          </w:p>
        </w:tc>
        <w:tc>
          <w:tcPr>
            <w:tcW w:w="675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44FD0EA">
            <w:pPr>
              <w:pStyle w:val="7"/>
              <w:spacing w:before="105" w:line="224" w:lineRule="auto"/>
              <w:ind w:left="122"/>
            </w:pPr>
            <w:r>
              <w:rPr>
                <w:spacing w:val="8"/>
              </w:rPr>
              <w:t>高校后勤数智化平台设计与实现研究</w:t>
            </w:r>
          </w:p>
        </w:tc>
        <w:tc>
          <w:tcPr>
            <w:tcW w:w="13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12B3905">
            <w:pPr>
              <w:rPr>
                <w:rFonts w:ascii="Arial"/>
                <w:sz w:val="21"/>
              </w:rPr>
            </w:pPr>
          </w:p>
        </w:tc>
      </w:tr>
      <w:tr w14:paraId="5CFC1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2C95B144">
            <w:pPr>
              <w:pStyle w:val="7"/>
              <w:spacing w:before="147" w:line="184" w:lineRule="auto"/>
              <w:ind w:left="342"/>
            </w:pPr>
            <w:r>
              <w:rPr>
                <w:spacing w:val="-10"/>
              </w:rPr>
              <w:t>13</w:t>
            </w:r>
          </w:p>
        </w:tc>
        <w:tc>
          <w:tcPr>
            <w:tcW w:w="675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0FD1F73">
            <w:pPr>
              <w:pStyle w:val="7"/>
              <w:spacing w:before="104" w:line="225" w:lineRule="auto"/>
              <w:ind w:left="114"/>
            </w:pPr>
            <w:r>
              <w:rPr>
                <w:spacing w:val="8"/>
              </w:rPr>
              <w:t>教育强省背景下教育收费治理路径研究</w:t>
            </w:r>
          </w:p>
        </w:tc>
        <w:tc>
          <w:tcPr>
            <w:tcW w:w="13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3273A85">
            <w:pPr>
              <w:rPr>
                <w:rFonts w:ascii="Arial"/>
                <w:sz w:val="21"/>
              </w:rPr>
            </w:pPr>
          </w:p>
        </w:tc>
      </w:tr>
      <w:tr w14:paraId="52DEB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1527676C">
            <w:pPr>
              <w:pStyle w:val="7"/>
              <w:spacing w:before="147" w:line="185" w:lineRule="auto"/>
              <w:ind w:left="342"/>
            </w:pPr>
            <w:r>
              <w:rPr>
                <w:spacing w:val="-10"/>
              </w:rPr>
              <w:t>14</w:t>
            </w:r>
          </w:p>
        </w:tc>
        <w:tc>
          <w:tcPr>
            <w:tcW w:w="675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5E1F8B8">
            <w:pPr>
              <w:pStyle w:val="7"/>
              <w:spacing w:before="105" w:line="224" w:lineRule="auto"/>
              <w:ind w:left="114"/>
            </w:pPr>
            <w:r>
              <w:rPr>
                <w:spacing w:val="9"/>
              </w:rPr>
              <w:t>新形势下事业单位财会队伍建设与人员配置探讨</w:t>
            </w:r>
          </w:p>
        </w:tc>
        <w:tc>
          <w:tcPr>
            <w:tcW w:w="13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E6CEC31">
            <w:pPr>
              <w:rPr>
                <w:rFonts w:ascii="Arial"/>
                <w:sz w:val="21"/>
              </w:rPr>
            </w:pPr>
          </w:p>
        </w:tc>
      </w:tr>
      <w:tr w14:paraId="60C75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67B08C63">
            <w:pPr>
              <w:pStyle w:val="7"/>
              <w:spacing w:before="147" w:line="184" w:lineRule="auto"/>
              <w:ind w:left="342"/>
            </w:pPr>
            <w:r>
              <w:rPr>
                <w:spacing w:val="-10"/>
              </w:rPr>
              <w:t>15</w:t>
            </w:r>
          </w:p>
        </w:tc>
        <w:tc>
          <w:tcPr>
            <w:tcW w:w="675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9DA21A3">
            <w:pPr>
              <w:pStyle w:val="7"/>
              <w:spacing w:before="104" w:line="224" w:lineRule="auto"/>
              <w:ind w:left="145"/>
            </w:pPr>
            <w:r>
              <w:rPr>
                <w:spacing w:val="7"/>
              </w:rPr>
              <w:t>民办高校债务结构优化与融资成本最小化策略研究</w:t>
            </w:r>
          </w:p>
        </w:tc>
        <w:tc>
          <w:tcPr>
            <w:tcW w:w="13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3D81024">
            <w:pPr>
              <w:rPr>
                <w:rFonts w:ascii="Arial"/>
                <w:sz w:val="21"/>
              </w:rPr>
            </w:pPr>
          </w:p>
        </w:tc>
      </w:tr>
      <w:tr w14:paraId="5373D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1AFF3126">
            <w:pPr>
              <w:pStyle w:val="7"/>
              <w:spacing w:before="148" w:line="184" w:lineRule="auto"/>
              <w:ind w:left="342"/>
            </w:pPr>
            <w:r>
              <w:rPr>
                <w:spacing w:val="-10"/>
              </w:rPr>
              <w:t>16</w:t>
            </w:r>
          </w:p>
        </w:tc>
        <w:tc>
          <w:tcPr>
            <w:tcW w:w="675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E9B07F1">
            <w:pPr>
              <w:pStyle w:val="7"/>
              <w:spacing w:before="105" w:line="222" w:lineRule="auto"/>
              <w:ind w:left="114"/>
            </w:pPr>
            <w:r>
              <w:rPr>
                <w:spacing w:val="9"/>
              </w:rPr>
              <w:t>研究型大学财务数据挖掘在事业发展趋势预测中的应用</w:t>
            </w:r>
          </w:p>
        </w:tc>
        <w:tc>
          <w:tcPr>
            <w:tcW w:w="13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A46C248">
            <w:pPr>
              <w:rPr>
                <w:rFonts w:ascii="Arial"/>
                <w:sz w:val="21"/>
              </w:rPr>
            </w:pPr>
          </w:p>
        </w:tc>
      </w:tr>
      <w:tr w14:paraId="3637F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190C6472">
            <w:pPr>
              <w:pStyle w:val="7"/>
              <w:spacing w:before="147" w:line="184" w:lineRule="auto"/>
              <w:ind w:left="342"/>
            </w:pPr>
            <w:r>
              <w:rPr>
                <w:spacing w:val="-10"/>
              </w:rPr>
              <w:t>17</w:t>
            </w:r>
          </w:p>
        </w:tc>
        <w:tc>
          <w:tcPr>
            <w:tcW w:w="675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0C3FB3C">
            <w:pPr>
              <w:pStyle w:val="7"/>
              <w:spacing w:before="104" w:line="224" w:lineRule="auto"/>
              <w:ind w:left="122"/>
            </w:pPr>
            <w:r>
              <w:rPr>
                <w:spacing w:val="8"/>
              </w:rPr>
              <w:t>高校财务信息化发展现状及提升路径研究</w:t>
            </w:r>
          </w:p>
        </w:tc>
        <w:tc>
          <w:tcPr>
            <w:tcW w:w="13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3624EDB">
            <w:pPr>
              <w:rPr>
                <w:rFonts w:ascii="Arial"/>
                <w:sz w:val="21"/>
              </w:rPr>
            </w:pPr>
          </w:p>
        </w:tc>
      </w:tr>
      <w:tr w14:paraId="53580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362C0F86">
            <w:pPr>
              <w:pStyle w:val="7"/>
              <w:spacing w:before="149" w:line="184" w:lineRule="auto"/>
              <w:ind w:left="342"/>
            </w:pPr>
            <w:r>
              <w:rPr>
                <w:spacing w:val="-10"/>
              </w:rPr>
              <w:t>18</w:t>
            </w:r>
          </w:p>
        </w:tc>
        <w:tc>
          <w:tcPr>
            <w:tcW w:w="675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BEC1F4F">
            <w:pPr>
              <w:pStyle w:val="7"/>
              <w:spacing w:before="106" w:line="224" w:lineRule="auto"/>
              <w:ind w:left="122"/>
            </w:pPr>
            <w:r>
              <w:rPr>
                <w:spacing w:val="8"/>
              </w:rPr>
              <w:t>高校债务风险的形成机理与化解对策研究</w:t>
            </w:r>
          </w:p>
        </w:tc>
        <w:tc>
          <w:tcPr>
            <w:tcW w:w="13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372649A">
            <w:pPr>
              <w:rPr>
                <w:rFonts w:ascii="Arial"/>
                <w:sz w:val="21"/>
              </w:rPr>
            </w:pPr>
          </w:p>
        </w:tc>
      </w:tr>
      <w:tr w14:paraId="192A6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7BE98513">
            <w:pPr>
              <w:pStyle w:val="7"/>
              <w:spacing w:before="147" w:line="184" w:lineRule="auto"/>
              <w:ind w:left="342"/>
            </w:pPr>
            <w:r>
              <w:rPr>
                <w:spacing w:val="-10"/>
              </w:rPr>
              <w:t>19</w:t>
            </w:r>
          </w:p>
        </w:tc>
        <w:tc>
          <w:tcPr>
            <w:tcW w:w="6758" w:type="dxa"/>
            <w:tcBorders>
              <w:top w:val="single" w:color="000000" w:sz="6" w:space="0"/>
            </w:tcBorders>
            <w:vAlign w:val="top"/>
          </w:tcPr>
          <w:p w14:paraId="1B13596B">
            <w:pPr>
              <w:pStyle w:val="7"/>
              <w:spacing w:before="105" w:line="222" w:lineRule="auto"/>
              <w:ind w:left="118"/>
            </w:pPr>
            <w:r>
              <w:rPr>
                <w:spacing w:val="8"/>
              </w:rPr>
              <w:t>人工智能在绩效管理中的应用探索</w:t>
            </w:r>
          </w:p>
        </w:tc>
        <w:tc>
          <w:tcPr>
            <w:tcW w:w="135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4B96F1D9">
            <w:pPr>
              <w:rPr>
                <w:rFonts w:ascii="Arial"/>
                <w:sz w:val="21"/>
              </w:rPr>
            </w:pPr>
          </w:p>
        </w:tc>
      </w:tr>
      <w:tr w14:paraId="0429F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4B1A6C93">
            <w:pPr>
              <w:pStyle w:val="7"/>
              <w:spacing w:before="152" w:line="184" w:lineRule="auto"/>
              <w:ind w:left="327"/>
            </w:pPr>
            <w:r>
              <w:rPr>
                <w:spacing w:val="-2"/>
              </w:rPr>
              <w:t>20</w:t>
            </w:r>
          </w:p>
        </w:tc>
        <w:tc>
          <w:tcPr>
            <w:tcW w:w="6758" w:type="dxa"/>
            <w:vAlign w:val="top"/>
          </w:tcPr>
          <w:p w14:paraId="4B6A35CC">
            <w:pPr>
              <w:pStyle w:val="7"/>
              <w:spacing w:before="109" w:line="224" w:lineRule="auto"/>
              <w:ind w:left="114"/>
            </w:pPr>
            <w:r>
              <w:rPr>
                <w:spacing w:val="9"/>
              </w:rPr>
              <w:t>教育专项债券支持高校基础设施建设的实证研究</w:t>
            </w:r>
          </w:p>
        </w:tc>
        <w:tc>
          <w:tcPr>
            <w:tcW w:w="1358" w:type="dxa"/>
            <w:tcBorders>
              <w:right w:val="single" w:color="000000" w:sz="6" w:space="0"/>
            </w:tcBorders>
            <w:vAlign w:val="top"/>
          </w:tcPr>
          <w:p w14:paraId="63F01EC3">
            <w:pPr>
              <w:rPr>
                <w:rFonts w:ascii="Arial"/>
                <w:sz w:val="21"/>
              </w:rPr>
            </w:pPr>
          </w:p>
        </w:tc>
      </w:tr>
      <w:tr w14:paraId="694A5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4FB4A433">
            <w:pPr>
              <w:pStyle w:val="7"/>
              <w:spacing w:before="153" w:line="185" w:lineRule="auto"/>
              <w:ind w:left="327"/>
            </w:pPr>
            <w:r>
              <w:rPr>
                <w:spacing w:val="-2"/>
              </w:rPr>
              <w:t>21</w:t>
            </w:r>
          </w:p>
        </w:tc>
        <w:tc>
          <w:tcPr>
            <w:tcW w:w="6758" w:type="dxa"/>
            <w:vAlign w:val="top"/>
          </w:tcPr>
          <w:p w14:paraId="39F2C985">
            <w:pPr>
              <w:pStyle w:val="7"/>
              <w:spacing w:before="111" w:line="224" w:lineRule="auto"/>
              <w:ind w:left="114"/>
            </w:pPr>
            <w:r>
              <w:rPr>
                <w:spacing w:val="7"/>
              </w:rPr>
              <w:t>教育经费执行中的“最后一公里</w:t>
            </w:r>
            <w:r>
              <w:rPr>
                <w:spacing w:val="-75"/>
              </w:rPr>
              <w:t xml:space="preserve"> </w:t>
            </w:r>
            <w:r>
              <w:rPr>
                <w:spacing w:val="7"/>
              </w:rPr>
              <w:t>”问题研究</w:t>
            </w:r>
          </w:p>
        </w:tc>
        <w:tc>
          <w:tcPr>
            <w:tcW w:w="1358" w:type="dxa"/>
            <w:tcBorders>
              <w:right w:val="single" w:color="000000" w:sz="6" w:space="0"/>
            </w:tcBorders>
            <w:vAlign w:val="top"/>
          </w:tcPr>
          <w:p w14:paraId="099A1DE5">
            <w:pPr>
              <w:rPr>
                <w:rFonts w:ascii="Arial"/>
                <w:sz w:val="21"/>
              </w:rPr>
            </w:pPr>
          </w:p>
        </w:tc>
      </w:tr>
      <w:tr w14:paraId="6F001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3C44E00E">
            <w:pPr>
              <w:pStyle w:val="7"/>
              <w:spacing w:before="154" w:line="184" w:lineRule="auto"/>
              <w:ind w:left="327"/>
            </w:pPr>
            <w:r>
              <w:rPr>
                <w:spacing w:val="-2"/>
              </w:rPr>
              <w:t>22</w:t>
            </w:r>
          </w:p>
        </w:tc>
        <w:tc>
          <w:tcPr>
            <w:tcW w:w="6758" w:type="dxa"/>
            <w:vAlign w:val="top"/>
          </w:tcPr>
          <w:p w14:paraId="29A5E311">
            <w:pPr>
              <w:pStyle w:val="7"/>
              <w:spacing w:before="112" w:line="224" w:lineRule="auto"/>
              <w:ind w:left="144"/>
            </w:pPr>
            <w:r>
              <w:rPr>
                <w:spacing w:val="7"/>
              </w:rPr>
              <w:t>内部控制视角下高校资产管理效率提升策略研究</w:t>
            </w:r>
          </w:p>
        </w:tc>
        <w:tc>
          <w:tcPr>
            <w:tcW w:w="1358" w:type="dxa"/>
            <w:tcBorders>
              <w:right w:val="single" w:color="000000" w:sz="6" w:space="0"/>
            </w:tcBorders>
            <w:vAlign w:val="top"/>
          </w:tcPr>
          <w:p w14:paraId="081C715C">
            <w:pPr>
              <w:rPr>
                <w:rFonts w:ascii="Arial"/>
                <w:sz w:val="21"/>
              </w:rPr>
            </w:pPr>
          </w:p>
        </w:tc>
      </w:tr>
      <w:tr w14:paraId="18DF45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27BCD86E">
            <w:pPr>
              <w:pStyle w:val="7"/>
              <w:spacing w:before="154" w:line="184" w:lineRule="auto"/>
              <w:ind w:left="327"/>
            </w:pPr>
            <w:r>
              <w:rPr>
                <w:spacing w:val="-2"/>
              </w:rPr>
              <w:t>23</w:t>
            </w:r>
          </w:p>
        </w:tc>
        <w:tc>
          <w:tcPr>
            <w:tcW w:w="6758" w:type="dxa"/>
            <w:vAlign w:val="top"/>
          </w:tcPr>
          <w:p w14:paraId="30B7548A">
            <w:pPr>
              <w:pStyle w:val="7"/>
              <w:spacing w:before="112" w:line="224" w:lineRule="auto"/>
              <w:ind w:left="122"/>
            </w:pPr>
            <w:r>
              <w:rPr>
                <w:spacing w:val="8"/>
              </w:rPr>
              <w:t>高校科研经费放管服与财会监督协同机制构建研究</w:t>
            </w:r>
          </w:p>
        </w:tc>
        <w:tc>
          <w:tcPr>
            <w:tcW w:w="1358" w:type="dxa"/>
            <w:tcBorders>
              <w:right w:val="single" w:color="000000" w:sz="6" w:space="0"/>
            </w:tcBorders>
            <w:vAlign w:val="top"/>
          </w:tcPr>
          <w:p w14:paraId="3776D880">
            <w:pPr>
              <w:rPr>
                <w:rFonts w:ascii="Arial"/>
                <w:sz w:val="21"/>
              </w:rPr>
            </w:pPr>
          </w:p>
        </w:tc>
      </w:tr>
      <w:tr w14:paraId="5E119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494F681A">
            <w:pPr>
              <w:pStyle w:val="7"/>
              <w:spacing w:before="156" w:line="184" w:lineRule="auto"/>
              <w:ind w:left="327"/>
            </w:pPr>
            <w:r>
              <w:rPr>
                <w:spacing w:val="-2"/>
              </w:rPr>
              <w:t>24</w:t>
            </w:r>
          </w:p>
        </w:tc>
        <w:tc>
          <w:tcPr>
            <w:tcW w:w="6758" w:type="dxa"/>
            <w:vAlign w:val="top"/>
          </w:tcPr>
          <w:p w14:paraId="68C98095">
            <w:pPr>
              <w:pStyle w:val="7"/>
              <w:spacing w:before="113" w:line="224" w:lineRule="auto"/>
              <w:ind w:left="122"/>
            </w:pPr>
            <w:r>
              <w:rPr>
                <w:spacing w:val="8"/>
              </w:rPr>
              <w:t>高职院校学生资助政策体系实施成效与优化对策</w:t>
            </w:r>
          </w:p>
        </w:tc>
        <w:tc>
          <w:tcPr>
            <w:tcW w:w="1358" w:type="dxa"/>
            <w:tcBorders>
              <w:right w:val="single" w:color="000000" w:sz="6" w:space="0"/>
            </w:tcBorders>
            <w:vAlign w:val="top"/>
          </w:tcPr>
          <w:p w14:paraId="4B3D3DD4">
            <w:pPr>
              <w:rPr>
                <w:rFonts w:ascii="Arial"/>
                <w:sz w:val="21"/>
              </w:rPr>
            </w:pPr>
          </w:p>
        </w:tc>
      </w:tr>
      <w:tr w14:paraId="3FEC8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01C68B7B">
            <w:pPr>
              <w:pStyle w:val="7"/>
              <w:spacing w:before="156" w:line="184" w:lineRule="auto"/>
              <w:ind w:left="327"/>
            </w:pPr>
            <w:r>
              <w:rPr>
                <w:spacing w:val="-2"/>
              </w:rPr>
              <w:t>25</w:t>
            </w:r>
          </w:p>
        </w:tc>
        <w:tc>
          <w:tcPr>
            <w:tcW w:w="6758" w:type="dxa"/>
            <w:vAlign w:val="top"/>
          </w:tcPr>
          <w:p w14:paraId="51CC92B6">
            <w:pPr>
              <w:pStyle w:val="7"/>
              <w:spacing w:before="113" w:line="225" w:lineRule="auto"/>
              <w:ind w:left="114"/>
            </w:pPr>
            <w:r>
              <w:rPr>
                <w:spacing w:val="8"/>
              </w:rPr>
              <w:t>职业教育产教融合的财税政策研究</w:t>
            </w:r>
          </w:p>
        </w:tc>
        <w:tc>
          <w:tcPr>
            <w:tcW w:w="1358" w:type="dxa"/>
            <w:tcBorders>
              <w:right w:val="single" w:color="000000" w:sz="6" w:space="0"/>
            </w:tcBorders>
            <w:vAlign w:val="top"/>
          </w:tcPr>
          <w:p w14:paraId="0DAFE8A5">
            <w:pPr>
              <w:rPr>
                <w:rFonts w:ascii="Arial"/>
                <w:sz w:val="21"/>
              </w:rPr>
            </w:pPr>
          </w:p>
        </w:tc>
      </w:tr>
    </w:tbl>
    <w:p w14:paraId="7E51C323">
      <w:pPr>
        <w:rPr>
          <w:rFonts w:ascii="Arial"/>
          <w:sz w:val="21"/>
        </w:rPr>
      </w:pPr>
    </w:p>
    <w:p w14:paraId="748A1D18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1469" w:bottom="1924" w:left="1413" w:header="0" w:footer="1637" w:gutter="0"/>
          <w:cols w:space="720" w:num="1"/>
        </w:sectPr>
      </w:pPr>
    </w:p>
    <w:p w14:paraId="1F36C5E2">
      <w:pPr>
        <w:spacing w:line="298" w:lineRule="auto"/>
        <w:rPr>
          <w:rFonts w:ascii="Arial"/>
          <w:sz w:val="21"/>
        </w:rPr>
      </w:pPr>
    </w:p>
    <w:p w14:paraId="1C4F79AA">
      <w:pPr>
        <w:spacing w:line="298" w:lineRule="auto"/>
        <w:rPr>
          <w:rFonts w:ascii="Arial"/>
          <w:sz w:val="21"/>
        </w:rPr>
      </w:pPr>
    </w:p>
    <w:p w14:paraId="61834912">
      <w:pPr>
        <w:spacing w:line="298" w:lineRule="auto"/>
        <w:rPr>
          <w:rFonts w:ascii="Arial"/>
          <w:sz w:val="21"/>
        </w:rPr>
      </w:pPr>
    </w:p>
    <w:p w14:paraId="4962F68D">
      <w:pPr>
        <w:spacing w:before="91" w:line="222" w:lineRule="auto"/>
        <w:ind w:left="2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二、指导性项目（选题申报）</w:t>
      </w:r>
    </w:p>
    <w:p w14:paraId="4939A8F7">
      <w:pPr>
        <w:spacing w:line="95" w:lineRule="exact"/>
      </w:pPr>
    </w:p>
    <w:tbl>
      <w:tblPr>
        <w:tblStyle w:val="6"/>
        <w:tblW w:w="868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6112"/>
        <w:gridCol w:w="1682"/>
      </w:tblGrid>
      <w:tr w14:paraId="423E9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71A27142">
            <w:pPr>
              <w:spacing w:before="168" w:line="231" w:lineRule="auto"/>
              <w:ind w:left="20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6112" w:type="dxa"/>
            <w:vAlign w:val="top"/>
          </w:tcPr>
          <w:p w14:paraId="5C934C9D">
            <w:pPr>
              <w:spacing w:before="167" w:line="230" w:lineRule="auto"/>
              <w:ind w:left="25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项目范围</w:t>
            </w:r>
          </w:p>
        </w:tc>
        <w:tc>
          <w:tcPr>
            <w:tcW w:w="1682" w:type="dxa"/>
            <w:tcBorders>
              <w:right w:val="single" w:color="000000" w:sz="6" w:space="0"/>
            </w:tcBorders>
            <w:vAlign w:val="top"/>
          </w:tcPr>
          <w:p w14:paraId="34242B6C">
            <w:pPr>
              <w:spacing w:before="167" w:line="230" w:lineRule="auto"/>
              <w:ind w:left="6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</w:tc>
      </w:tr>
      <w:tr w14:paraId="19FFF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67B555D4">
            <w:pPr>
              <w:pStyle w:val="7"/>
              <w:spacing w:before="204" w:line="185" w:lineRule="auto"/>
              <w:ind w:left="402"/>
            </w:pPr>
            <w:r>
              <w:t>1</w:t>
            </w:r>
          </w:p>
        </w:tc>
        <w:tc>
          <w:tcPr>
            <w:tcW w:w="6112" w:type="dxa"/>
            <w:vAlign w:val="top"/>
          </w:tcPr>
          <w:p w14:paraId="12E37A37">
            <w:pPr>
              <w:pStyle w:val="7"/>
              <w:spacing w:before="163" w:line="224" w:lineRule="auto"/>
              <w:ind w:left="117"/>
            </w:pPr>
            <w:r>
              <w:rPr>
                <w:spacing w:val="7"/>
              </w:rPr>
              <w:t>财政体制与政策研究</w:t>
            </w:r>
          </w:p>
        </w:tc>
        <w:tc>
          <w:tcPr>
            <w:tcW w:w="1682" w:type="dxa"/>
            <w:tcBorders>
              <w:right w:val="single" w:color="000000" w:sz="6" w:space="0"/>
            </w:tcBorders>
            <w:vAlign w:val="top"/>
          </w:tcPr>
          <w:p w14:paraId="0CCBA8FB">
            <w:pPr>
              <w:rPr>
                <w:rFonts w:ascii="Arial"/>
                <w:sz w:val="21"/>
              </w:rPr>
            </w:pPr>
          </w:p>
        </w:tc>
      </w:tr>
      <w:tr w14:paraId="63362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401B85C6">
            <w:pPr>
              <w:pStyle w:val="7"/>
              <w:spacing w:before="208" w:line="184" w:lineRule="auto"/>
              <w:ind w:left="387"/>
            </w:pPr>
            <w:r>
              <w:t>2</w:t>
            </w:r>
          </w:p>
        </w:tc>
        <w:tc>
          <w:tcPr>
            <w:tcW w:w="6112" w:type="dxa"/>
            <w:vAlign w:val="top"/>
          </w:tcPr>
          <w:p w14:paraId="3F7A25C4">
            <w:pPr>
              <w:pStyle w:val="7"/>
              <w:spacing w:before="165" w:line="224" w:lineRule="auto"/>
              <w:ind w:left="116"/>
            </w:pPr>
            <w:r>
              <w:rPr>
                <w:spacing w:val="7"/>
              </w:rPr>
              <w:t>预算管理创新研究</w:t>
            </w:r>
          </w:p>
        </w:tc>
        <w:tc>
          <w:tcPr>
            <w:tcW w:w="1682" w:type="dxa"/>
            <w:tcBorders>
              <w:right w:val="single" w:color="000000" w:sz="6" w:space="0"/>
            </w:tcBorders>
            <w:vAlign w:val="top"/>
          </w:tcPr>
          <w:p w14:paraId="7C65BF1C">
            <w:pPr>
              <w:rPr>
                <w:rFonts w:ascii="Arial"/>
                <w:sz w:val="21"/>
              </w:rPr>
            </w:pPr>
          </w:p>
        </w:tc>
      </w:tr>
      <w:tr w14:paraId="1C783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0B0EFE07">
            <w:pPr>
              <w:pStyle w:val="7"/>
              <w:spacing w:before="208" w:line="184" w:lineRule="auto"/>
              <w:ind w:left="389"/>
            </w:pPr>
            <w:r>
              <w:t>3</w:t>
            </w:r>
          </w:p>
        </w:tc>
        <w:tc>
          <w:tcPr>
            <w:tcW w:w="6112" w:type="dxa"/>
            <w:vAlign w:val="top"/>
          </w:tcPr>
          <w:p w14:paraId="132B3307">
            <w:pPr>
              <w:pStyle w:val="7"/>
              <w:spacing w:before="165" w:line="225" w:lineRule="auto"/>
              <w:ind w:left="113"/>
            </w:pPr>
            <w:r>
              <w:rPr>
                <w:spacing w:val="8"/>
              </w:rPr>
              <w:t>教育经费筹融资研究</w:t>
            </w:r>
          </w:p>
        </w:tc>
        <w:tc>
          <w:tcPr>
            <w:tcW w:w="1682" w:type="dxa"/>
            <w:tcBorders>
              <w:right w:val="single" w:color="000000" w:sz="6" w:space="0"/>
            </w:tcBorders>
            <w:vAlign w:val="top"/>
          </w:tcPr>
          <w:p w14:paraId="3FD15C4F">
            <w:pPr>
              <w:rPr>
                <w:rFonts w:ascii="Arial"/>
                <w:sz w:val="21"/>
              </w:rPr>
            </w:pPr>
          </w:p>
        </w:tc>
      </w:tr>
      <w:tr w14:paraId="569F3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1E358023">
            <w:pPr>
              <w:pStyle w:val="7"/>
              <w:spacing w:before="209" w:line="184" w:lineRule="auto"/>
              <w:ind w:left="383"/>
            </w:pPr>
            <w:r>
              <w:t>4</w:t>
            </w:r>
          </w:p>
        </w:tc>
        <w:tc>
          <w:tcPr>
            <w:tcW w:w="6112" w:type="dxa"/>
            <w:vAlign w:val="top"/>
          </w:tcPr>
          <w:p w14:paraId="7EA8CF9A">
            <w:pPr>
              <w:pStyle w:val="7"/>
              <w:spacing w:before="166" w:line="223" w:lineRule="auto"/>
              <w:ind w:left="126"/>
            </w:pPr>
            <w:r>
              <w:rPr>
                <w:spacing w:val="7"/>
              </w:rPr>
              <w:t>资金管理与运作机制研究</w:t>
            </w:r>
          </w:p>
        </w:tc>
        <w:tc>
          <w:tcPr>
            <w:tcW w:w="1682" w:type="dxa"/>
            <w:tcBorders>
              <w:right w:val="single" w:color="000000" w:sz="6" w:space="0"/>
            </w:tcBorders>
            <w:vAlign w:val="top"/>
          </w:tcPr>
          <w:p w14:paraId="6C1E1F47">
            <w:pPr>
              <w:rPr>
                <w:rFonts w:ascii="Arial"/>
                <w:sz w:val="21"/>
              </w:rPr>
            </w:pPr>
          </w:p>
        </w:tc>
      </w:tr>
      <w:tr w14:paraId="74051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671349EC">
            <w:pPr>
              <w:pStyle w:val="7"/>
              <w:spacing w:before="211" w:line="182" w:lineRule="auto"/>
              <w:ind w:left="389"/>
            </w:pPr>
            <w:r>
              <w:t>5</w:t>
            </w:r>
          </w:p>
        </w:tc>
        <w:tc>
          <w:tcPr>
            <w:tcW w:w="6112" w:type="dxa"/>
            <w:vAlign w:val="top"/>
          </w:tcPr>
          <w:p w14:paraId="76C96744">
            <w:pPr>
              <w:pStyle w:val="7"/>
              <w:spacing w:before="167" w:line="224" w:lineRule="auto"/>
              <w:ind w:left="116"/>
            </w:pPr>
            <w:r>
              <w:rPr>
                <w:spacing w:val="8"/>
              </w:rPr>
              <w:t>风险识别与防控机制研究</w:t>
            </w:r>
          </w:p>
        </w:tc>
        <w:tc>
          <w:tcPr>
            <w:tcW w:w="1682" w:type="dxa"/>
            <w:tcBorders>
              <w:right w:val="single" w:color="000000" w:sz="6" w:space="0"/>
            </w:tcBorders>
            <w:vAlign w:val="top"/>
          </w:tcPr>
          <w:p w14:paraId="3EB4F0B6">
            <w:pPr>
              <w:rPr>
                <w:rFonts w:ascii="Arial"/>
                <w:sz w:val="21"/>
              </w:rPr>
            </w:pPr>
          </w:p>
        </w:tc>
      </w:tr>
      <w:tr w14:paraId="0BFA9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005A6871">
            <w:pPr>
              <w:pStyle w:val="7"/>
              <w:spacing w:before="211" w:line="184" w:lineRule="auto"/>
              <w:ind w:left="386"/>
            </w:pPr>
            <w:r>
              <w:t>6</w:t>
            </w:r>
          </w:p>
        </w:tc>
        <w:tc>
          <w:tcPr>
            <w:tcW w:w="6112" w:type="dxa"/>
            <w:vAlign w:val="top"/>
          </w:tcPr>
          <w:p w14:paraId="67A15C05">
            <w:pPr>
              <w:pStyle w:val="7"/>
              <w:spacing w:before="168" w:line="225" w:lineRule="auto"/>
              <w:ind w:left="113"/>
            </w:pPr>
            <w:r>
              <w:rPr>
                <w:spacing w:val="7"/>
              </w:rPr>
              <w:t>教育收费治理研究</w:t>
            </w:r>
          </w:p>
        </w:tc>
        <w:tc>
          <w:tcPr>
            <w:tcW w:w="1682" w:type="dxa"/>
            <w:tcBorders>
              <w:right w:val="single" w:color="000000" w:sz="6" w:space="0"/>
            </w:tcBorders>
            <w:vAlign w:val="top"/>
          </w:tcPr>
          <w:p w14:paraId="37D89DE9">
            <w:pPr>
              <w:rPr>
                <w:rFonts w:ascii="Arial"/>
                <w:sz w:val="21"/>
              </w:rPr>
            </w:pPr>
          </w:p>
        </w:tc>
      </w:tr>
      <w:tr w14:paraId="4AE20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37DD9DB2">
            <w:pPr>
              <w:pStyle w:val="7"/>
              <w:spacing w:before="213" w:line="182" w:lineRule="auto"/>
              <w:ind w:left="390"/>
            </w:pPr>
            <w:r>
              <w:t>7</w:t>
            </w:r>
          </w:p>
        </w:tc>
        <w:tc>
          <w:tcPr>
            <w:tcW w:w="6112" w:type="dxa"/>
            <w:vAlign w:val="top"/>
          </w:tcPr>
          <w:p w14:paraId="55DEDEFE">
            <w:pPr>
              <w:pStyle w:val="7"/>
              <w:spacing w:before="168" w:line="225" w:lineRule="auto"/>
              <w:ind w:left="114"/>
            </w:pPr>
            <w:r>
              <w:rPr>
                <w:spacing w:val="8"/>
              </w:rPr>
              <w:t>经费结构持续优化路径研究</w:t>
            </w:r>
          </w:p>
        </w:tc>
        <w:tc>
          <w:tcPr>
            <w:tcW w:w="1682" w:type="dxa"/>
            <w:tcBorders>
              <w:right w:val="single" w:color="000000" w:sz="6" w:space="0"/>
            </w:tcBorders>
            <w:vAlign w:val="top"/>
          </w:tcPr>
          <w:p w14:paraId="49A73614">
            <w:pPr>
              <w:rPr>
                <w:rFonts w:ascii="Arial"/>
                <w:sz w:val="21"/>
              </w:rPr>
            </w:pPr>
          </w:p>
        </w:tc>
      </w:tr>
      <w:tr w14:paraId="0187D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480F743C">
            <w:pPr>
              <w:pStyle w:val="7"/>
              <w:spacing w:before="210" w:line="184" w:lineRule="auto"/>
              <w:ind w:left="385"/>
            </w:pPr>
            <w:r>
              <w:t>8</w:t>
            </w:r>
          </w:p>
        </w:tc>
        <w:tc>
          <w:tcPr>
            <w:tcW w:w="6112" w:type="dxa"/>
            <w:vAlign w:val="top"/>
          </w:tcPr>
          <w:p w14:paraId="446B45AE">
            <w:pPr>
              <w:pStyle w:val="7"/>
              <w:spacing w:before="167" w:line="225" w:lineRule="auto"/>
              <w:ind w:left="113"/>
            </w:pPr>
            <w:r>
              <w:rPr>
                <w:spacing w:val="8"/>
              </w:rPr>
              <w:t>教育资源配置与优化研究</w:t>
            </w:r>
          </w:p>
        </w:tc>
        <w:tc>
          <w:tcPr>
            <w:tcW w:w="1682" w:type="dxa"/>
            <w:tcBorders>
              <w:right w:val="single" w:color="000000" w:sz="6" w:space="0"/>
            </w:tcBorders>
            <w:vAlign w:val="top"/>
          </w:tcPr>
          <w:p w14:paraId="46038AE4">
            <w:pPr>
              <w:rPr>
                <w:rFonts w:ascii="Arial"/>
                <w:sz w:val="21"/>
              </w:rPr>
            </w:pPr>
          </w:p>
        </w:tc>
      </w:tr>
      <w:tr w14:paraId="4B0A5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44A627ED">
            <w:pPr>
              <w:pStyle w:val="7"/>
              <w:spacing w:before="212" w:line="184" w:lineRule="auto"/>
              <w:ind w:left="385"/>
            </w:pPr>
            <w:r>
              <w:t>9</w:t>
            </w:r>
          </w:p>
        </w:tc>
        <w:tc>
          <w:tcPr>
            <w:tcW w:w="6112" w:type="dxa"/>
            <w:vAlign w:val="top"/>
          </w:tcPr>
          <w:p w14:paraId="5DB10077">
            <w:pPr>
              <w:pStyle w:val="7"/>
              <w:spacing w:before="170" w:line="224" w:lineRule="auto"/>
              <w:ind w:left="117"/>
            </w:pPr>
            <w:r>
              <w:rPr>
                <w:spacing w:val="7"/>
              </w:rPr>
              <w:t>财政责任分担机制研究</w:t>
            </w:r>
          </w:p>
        </w:tc>
        <w:tc>
          <w:tcPr>
            <w:tcW w:w="1682" w:type="dxa"/>
            <w:tcBorders>
              <w:right w:val="single" w:color="000000" w:sz="6" w:space="0"/>
            </w:tcBorders>
            <w:vAlign w:val="top"/>
          </w:tcPr>
          <w:p w14:paraId="3267F0B1">
            <w:pPr>
              <w:rPr>
                <w:rFonts w:ascii="Arial"/>
                <w:sz w:val="21"/>
              </w:rPr>
            </w:pPr>
          </w:p>
        </w:tc>
      </w:tr>
      <w:tr w14:paraId="092FC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92" w:type="dxa"/>
            <w:tcBorders>
              <w:left w:val="single" w:color="000000" w:sz="6" w:space="0"/>
            </w:tcBorders>
            <w:vAlign w:val="top"/>
          </w:tcPr>
          <w:p w14:paraId="1D3ED431">
            <w:pPr>
              <w:pStyle w:val="7"/>
              <w:spacing w:before="211" w:line="184" w:lineRule="auto"/>
              <w:ind w:left="342"/>
            </w:pPr>
            <w:r>
              <w:rPr>
                <w:spacing w:val="-10"/>
              </w:rPr>
              <w:t>10</w:t>
            </w:r>
          </w:p>
        </w:tc>
        <w:tc>
          <w:tcPr>
            <w:tcW w:w="6112" w:type="dxa"/>
            <w:vAlign w:val="top"/>
          </w:tcPr>
          <w:p w14:paraId="3FBD4A93">
            <w:pPr>
              <w:pStyle w:val="7"/>
              <w:spacing w:before="168" w:line="224" w:lineRule="auto"/>
              <w:ind w:left="113"/>
            </w:pPr>
            <w:r>
              <w:rPr>
                <w:spacing w:val="8"/>
              </w:rPr>
              <w:t>服务经济社会发展研究</w:t>
            </w:r>
          </w:p>
        </w:tc>
        <w:tc>
          <w:tcPr>
            <w:tcW w:w="1682" w:type="dxa"/>
            <w:tcBorders>
              <w:right w:val="single" w:color="000000" w:sz="6" w:space="0"/>
            </w:tcBorders>
            <w:vAlign w:val="top"/>
          </w:tcPr>
          <w:p w14:paraId="053A9B1A">
            <w:pPr>
              <w:rPr>
                <w:rFonts w:ascii="Arial"/>
                <w:sz w:val="21"/>
              </w:rPr>
            </w:pPr>
          </w:p>
        </w:tc>
      </w:tr>
    </w:tbl>
    <w:p w14:paraId="7FBC9526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630" w:bottom="1922" w:left="1574" w:header="0" w:footer="1637" w:gutter="0"/>
          <w:cols w:space="720" w:num="1"/>
        </w:sectPr>
      </w:pPr>
    </w:p>
    <w:p w14:paraId="2615AD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A6303">
    <w:pPr>
      <w:pStyle w:val="2"/>
      <w:spacing w:before="1" w:line="174" w:lineRule="auto"/>
      <w:rPr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CCA92">
    <w:pPr>
      <w:pStyle w:val="2"/>
      <w:spacing w:line="176" w:lineRule="auto"/>
      <w:rPr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4FAA9">
    <w:pPr>
      <w:pStyle w:val="2"/>
      <w:spacing w:before="1" w:line="174" w:lineRule="auto"/>
      <w:ind w:right="13"/>
      <w:jc w:val="center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F0A68"/>
    <w:rsid w:val="388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2025-01-09T00:54:00Z</dcterms:created>
  <dc:creator>Administrator</dc:creator>
  <cp:lastModifiedBy>Administrator</cp:lastModifiedBy>
  <dcterms:modified xsi:type="dcterms:W3CDTF">2025-01-09T00:56:48Z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058344759CCC43E48E6A891F39D70DEC_11</vt:lpwstr>
  </property>
  <property fmtid="{D5CDD505-2E9C-101B-9397-08002B2CF9AE}" pid="4" name="KSOTemplateDocerSaveRecord">
    <vt:lpwstr>eyJoZGlkIjoiMWNkZTU4ZDk4OTNkN2VmNjk4YmUzOWYyMTZlYTJkZDYifQ==</vt:lpwstr>
  </property>
</Properties>
</file>