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5418"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 w14:paraId="0F9E886D">
      <w:pPr>
        <w:snapToGrid w:val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2025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年河南省教育综合改革项目申报表</w:t>
      </w:r>
    </w:p>
    <w:p w14:paraId="48F58253">
      <w:pPr>
        <w:rPr>
          <w:rFonts w:ascii="Times New Roman" w:hAnsi="Times New Roman" w:eastAsia="楷体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楷体_GB2312"/>
          <w:color w:val="000000"/>
          <w:kern w:val="0"/>
          <w:sz w:val="28"/>
          <w:szCs w:val="28"/>
        </w:rPr>
        <w:t>项目单位（公章）：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760"/>
        <w:gridCol w:w="1377"/>
        <w:gridCol w:w="2525"/>
      </w:tblGrid>
      <w:tr w14:paraId="4CC0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5CDC24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21EC49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9B2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7E518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所属指南题目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EF89A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844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D1A9D9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EAA12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3043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92F83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619BD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4A69B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E1343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D5C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E5909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项目参与人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98B0A">
            <w:pPr>
              <w:widowControl/>
              <w:spacing w:line="500" w:lineRule="exac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C56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AFCCD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DCFFBE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1F5AA">
            <w:pPr>
              <w:widowControl/>
              <w:spacing w:line="5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25A0B">
            <w:pPr>
              <w:widowControl/>
              <w:spacing w:line="500" w:lineRule="exac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342C6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32997"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一、改革背景（500字以内）</w:t>
            </w:r>
          </w:p>
        </w:tc>
      </w:tr>
      <w:tr w14:paraId="7F4D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4AD70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14:paraId="477ECDB9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7238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3912"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二、实施基础和条件保障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（应注明是否列入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  <w:t>重点工作）</w:t>
            </w:r>
          </w:p>
        </w:tc>
      </w:tr>
      <w:tr w14:paraId="15FD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2F68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14:paraId="6D5D8D0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17D1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1CE5"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三、预期目标和成果展现形式</w:t>
            </w:r>
          </w:p>
        </w:tc>
      </w:tr>
      <w:tr w14:paraId="72CB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1A11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  <w:p w14:paraId="327B820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3611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E7A17">
            <w:pPr>
              <w:widowControl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四、总体工作进度安排</w:t>
            </w:r>
          </w:p>
        </w:tc>
      </w:tr>
      <w:tr w14:paraId="6280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121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14:paraId="7BDF1B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2025-05-15T07:14:45Z</dcterms:created>
  <dc:creator>73704</dc:creator>
  <cp:lastModifiedBy>來日方長</cp:lastModifiedBy>
  <dcterms:modified xsi:type="dcterms:W3CDTF">2025-05-15T07:14:47Z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1C0E6F75F7CB41499FD2FDAE3737B349_12</vt:lpwstr>
  </property>
</Properties>
</file>