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A6020">
      <w:pPr>
        <w:spacing w:before="101" w:line="224" w:lineRule="auto"/>
        <w:ind w:left="93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0"/>
          <w:sz w:val="31"/>
          <w:szCs w:val="31"/>
        </w:rPr>
        <w:t>附件1</w:t>
      </w:r>
    </w:p>
    <w:p w14:paraId="0C0E2886">
      <w:pPr>
        <w:spacing w:before="156" w:line="215" w:lineRule="auto"/>
        <w:ind w:left="3126" w:right="1288" w:hanging="207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25"/>
          <w:sz w:val="48"/>
          <w:szCs w:val="48"/>
        </w:rPr>
        <w:t>河南省教育系统廉政专题研究项目结项具体要求</w:t>
      </w:r>
    </w:p>
    <w:p w14:paraId="4A7190CC">
      <w:pPr>
        <w:spacing w:before="104" w:line="222" w:lineRule="auto"/>
        <w:ind w:left="63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一、结项成果材料</w:t>
      </w:r>
    </w:p>
    <w:p w14:paraId="10F3B61F">
      <w:pPr>
        <w:spacing w:before="21" w:line="323" w:lineRule="auto"/>
        <w:ind w:firstLine="659"/>
        <w:jc w:val="both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一是研究报告普通版，字数不少于10000字(格式附后);二是研究报告精华版，主要是针对党委和纪检监察机构决策参考形成的咨询报告，要坚持问题导向，提炼核心信息，提出对策建议，字数不超过5000字，标题、正文字号按照普通版要求；三是发表的论文和研究报告复印件、相关单位采纳证明或领导批示复印件；四是研究报告(</w:t>
      </w:r>
      <w:bookmarkStart w:id="0" w:name="_GoBack"/>
      <w:bookmarkEnd w:id="0"/>
      <w:r>
        <w:rPr>
          <w:rFonts w:hint="eastAsia" w:ascii="宋体" w:hAnsi="宋体" w:eastAsia="宋体" w:cs="宋体"/>
          <w:spacing w:val="12"/>
          <w:sz w:val="28"/>
          <w:szCs w:val="28"/>
        </w:rPr>
        <w:t>普通版)在中国知网学术不端检测系统的全文检测报告单(总文字复制比须在20%以内)。</w:t>
      </w:r>
    </w:p>
    <w:p w14:paraId="0D95442F">
      <w:pPr>
        <w:spacing w:line="221" w:lineRule="auto"/>
        <w:ind w:left="63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"/>
          <w:sz w:val="31"/>
          <w:szCs w:val="31"/>
        </w:rPr>
        <w:t>二、结项成果质量</w:t>
      </w:r>
    </w:p>
    <w:p w14:paraId="376C5B81">
      <w:pPr>
        <w:spacing w:before="21" w:line="323" w:lineRule="auto"/>
        <w:ind w:firstLine="659"/>
        <w:jc w:val="both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委托项目须签订委托协议，按照协议要求完成课题研究。一般项目须符合结项成果质量要求第一条至第五条之一；指导项目须符合结项成果质量要求以下六条之一。结项成果须与立项课题主要研究方向一致，具体要求如下：</w:t>
      </w:r>
    </w:p>
    <w:p w14:paraId="2FCF6564">
      <w:pPr>
        <w:spacing w:before="21" w:line="323" w:lineRule="auto"/>
        <w:ind w:firstLine="659"/>
        <w:jc w:val="both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一是研究成果被省委、省政府、省纪委监委、省委教育工委、省教育厅、驻省教育厅纪检监察组及各省辖市市委、市纪委监委文件采用，或获得以上有关市厅级及以上领导批示1次，须有采用证明或领导批示件；</w:t>
      </w:r>
    </w:p>
    <w:p w14:paraId="20B721D7">
      <w:pPr>
        <w:spacing w:before="21" w:line="323" w:lineRule="auto"/>
        <w:ind w:firstLine="659"/>
        <w:jc w:val="both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二是在国内出版社公开出版相关著作，须标注“河南省教育厅人文社会科学廉政专题研究项目(立项号)”;</w:t>
      </w:r>
    </w:p>
    <w:p w14:paraId="7CFC2E4E">
      <w:pPr>
        <w:spacing w:before="21" w:line="323" w:lineRule="auto"/>
        <w:ind w:firstLine="659"/>
        <w:jc w:val="both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三是在CN期刊(中国知网收录)公开发表学术论文1篇，须标注“河南省教育厅人文社会科学廉政专题研究项目(立项号)”;</w:t>
      </w:r>
    </w:p>
    <w:p w14:paraId="338DB405">
      <w:pPr>
        <w:spacing w:before="21" w:line="323" w:lineRule="auto"/>
        <w:ind w:firstLine="659"/>
        <w:jc w:val="both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四是在省级以上党委、政府直属机关举办的决策咨询刊物，如中央纪委国家监委《党风廉政建设》、省委《河南工作》、省纪委监委《河南纪检监察》、省教育厅《资政参考》、驻省教育厅纪检监察组《廉政研究要报》等刊发研究报告1篇，须注明“河南省教育系统廉政专题研究项目课题组”。</w:t>
      </w:r>
    </w:p>
    <w:p w14:paraId="08AEF621">
      <w:pPr>
        <w:spacing w:before="21" w:line="323" w:lineRule="auto"/>
        <w:ind w:firstLine="659"/>
        <w:jc w:val="both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五是在省级以上纪委监委网站发表调研报告1篇，发表前须经驻省教育厅纪检监察组审阅。</w:t>
      </w:r>
    </w:p>
    <w:p w14:paraId="7DD29FEC">
      <w:pPr>
        <w:spacing w:before="21" w:line="323" w:lineRule="auto"/>
        <w:ind w:firstLine="659"/>
        <w:jc w:val="both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六是研究报告提出的对策建议在党风廉政建设工作实践中取得实效，具有一定推广价值，需提供相关文件、工作方案、活动资料等佐证资料。</w:t>
      </w:r>
    </w:p>
    <w:p w14:paraId="6C432E3B">
      <w:pPr>
        <w:spacing w:line="222" w:lineRule="auto"/>
        <w:ind w:left="81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三、时间要求</w:t>
      </w:r>
    </w:p>
    <w:p w14:paraId="22C0C94D">
      <w:pPr>
        <w:spacing w:before="21" w:line="323" w:lineRule="auto"/>
        <w:ind w:firstLine="659"/>
        <w:jc w:val="both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2027年6月</w:t>
      </w:r>
      <w:r>
        <w:rPr>
          <w:rFonts w:hint="eastAsia" w:ascii="宋体" w:hAnsi="宋体" w:eastAsia="宋体" w:cs="宋体"/>
          <w:spacing w:val="12"/>
          <w:sz w:val="28"/>
          <w:szCs w:val="28"/>
          <w:lang w:val="en-US" w:eastAsia="zh-CN"/>
        </w:rPr>
        <w:t>22</w:t>
      </w:r>
      <w:r>
        <w:rPr>
          <w:rFonts w:hint="eastAsia" w:ascii="宋体" w:hAnsi="宋体" w:eastAsia="宋体" w:cs="宋体"/>
          <w:spacing w:val="12"/>
          <w:sz w:val="28"/>
          <w:szCs w:val="28"/>
        </w:rPr>
        <w:t>日前,提交普通版、精华版研究报告及发表的相关论文、领导批示复印件等结项材料申请结项，届时不再单独发布结项通知。所有项目结项材料按要求一式三份装订成册上报，电子版(word或wps格式)发指定邮箱，命名格式为“学校+课题负责人姓名+课题名称”。</w:t>
      </w:r>
    </w:p>
    <w:p w14:paraId="1CD8E884">
      <w:pPr>
        <w:spacing w:before="21" w:line="323" w:lineRule="auto"/>
        <w:ind w:firstLine="659"/>
        <w:jc w:val="both"/>
        <w:rPr>
          <w:rFonts w:hint="eastAsia" w:ascii="宋体" w:hAnsi="宋体" w:eastAsia="宋体" w:cs="宋体"/>
          <w:spacing w:val="12"/>
          <w:sz w:val="28"/>
          <w:szCs w:val="28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课题一经立项，原则上不予延期；确因特殊情况需要延期的，课题负责人应在原定完成时限之前提出申请，经驻省教育厅纪检监察组批准后可延期一次。到期仍未完成的，作撤项处理。结项成果首次鉴定不合格的，可于次年再次提交鉴定；第二次鉴定仍不合格的，作撤项处理。凡存在弄虚作假行为的，一经查实，取消结项资格，且三年内不得申报本课题。</w:t>
      </w:r>
    </w:p>
    <w:p w14:paraId="7B775D7E">
      <w:pPr>
        <w:spacing w:before="22" w:line="222" w:lineRule="auto"/>
        <w:ind w:left="6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5"/>
          <w:sz w:val="32"/>
          <w:szCs w:val="32"/>
        </w:rPr>
        <w:t>四、材料报送</w:t>
      </w:r>
    </w:p>
    <w:p w14:paraId="04619900">
      <w:pPr>
        <w:spacing w:before="21" w:line="323" w:lineRule="auto"/>
        <w:ind w:firstLine="659"/>
        <w:jc w:val="both"/>
        <w:rPr>
          <w:rFonts w:hint="default" w:ascii="宋体" w:hAnsi="宋体" w:eastAsia="宋体" w:cs="宋体"/>
          <w:spacing w:val="1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结项材料纸质版报送</w:t>
      </w:r>
      <w:r>
        <w:rPr>
          <w:rFonts w:hint="eastAsia" w:ascii="宋体" w:hAnsi="宋体" w:eastAsia="宋体" w:cs="宋体"/>
          <w:spacing w:val="12"/>
          <w:sz w:val="28"/>
          <w:szCs w:val="28"/>
          <w:lang w:val="en-US" w:eastAsia="zh-CN"/>
        </w:rPr>
        <w:t>至科技处。</w:t>
      </w:r>
    </w:p>
    <w:p w14:paraId="4D56B128">
      <w:pPr>
        <w:spacing w:before="21" w:line="323" w:lineRule="auto"/>
        <w:ind w:firstLine="659"/>
        <w:jc w:val="both"/>
        <w:rPr>
          <w:rFonts w:hint="default" w:ascii="宋体" w:hAnsi="宋体" w:eastAsia="宋体" w:cs="宋体"/>
          <w:spacing w:val="1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28"/>
          <w:szCs w:val="28"/>
        </w:rPr>
        <w:t>结项材料电子版报送邮箱：</w:t>
      </w:r>
      <w:r>
        <w:rPr>
          <w:rFonts w:hint="eastAsia" w:ascii="宋体" w:hAnsi="宋体" w:eastAsia="宋体" w:cs="宋体"/>
          <w:spacing w:val="12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pacing w:val="12"/>
          <w:sz w:val="28"/>
          <w:szCs w:val="28"/>
          <w:lang w:val="en-US" w:eastAsia="zh-CN"/>
        </w:rPr>
        <w:instrText xml:space="preserve"> HYPERLINK "mailto:ztbukyc@163.com" </w:instrText>
      </w:r>
      <w:r>
        <w:rPr>
          <w:rFonts w:hint="eastAsia" w:ascii="宋体" w:hAnsi="宋体" w:eastAsia="宋体" w:cs="宋体"/>
          <w:spacing w:val="12"/>
          <w:sz w:val="28"/>
          <w:szCs w:val="28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pacing w:val="12"/>
          <w:sz w:val="28"/>
          <w:szCs w:val="28"/>
          <w:lang w:val="en-US" w:eastAsia="zh-CN"/>
        </w:rPr>
        <w:t>ztbukyc@163.com</w:t>
      </w:r>
      <w:r>
        <w:rPr>
          <w:rFonts w:hint="eastAsia" w:ascii="宋体" w:hAnsi="宋体" w:eastAsia="宋体" w:cs="宋体"/>
          <w:spacing w:val="12"/>
          <w:sz w:val="28"/>
          <w:szCs w:val="28"/>
          <w:lang w:val="en-US" w:eastAsia="zh-CN"/>
        </w:rPr>
        <w:fldChar w:fldCharType="end"/>
      </w:r>
    </w:p>
    <w:p w14:paraId="0F59E386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8C3E0">
    <w:pPr>
      <w:spacing w:line="171" w:lineRule="auto"/>
      <w:ind w:left="7860"/>
      <w:rPr>
        <w:rFonts w:hint="eastAsia" w:ascii="Times New Roman" w:hAnsi="Times New Roman" w:eastAsia="宋体" w:cs="Times New Roman"/>
        <w:sz w:val="21"/>
        <w:szCs w:val="21"/>
        <w:lang w:eastAsia="zh-CN"/>
      </w:rPr>
    </w:pPr>
    <w:r>
      <w:rPr>
        <w:rFonts w:ascii="宋体" w:hAnsi="宋体" w:eastAsia="宋体" w:cs="宋体"/>
        <w:spacing w:val="-6"/>
        <w:sz w:val="21"/>
        <w:szCs w:val="21"/>
      </w:rPr>
      <w:t>—</w:t>
    </w:r>
    <w:r>
      <w:rPr>
        <w:rFonts w:ascii="Times New Roman" w:hAnsi="Times New Roman" w:eastAsia="Times New Roman" w:cs="Times New Roman"/>
        <w:spacing w:val="-6"/>
        <w:sz w:val="21"/>
        <w:szCs w:val="21"/>
      </w:rPr>
      <w:t>19—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EC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2026-08-24T06:50:02Z</dcterms:created>
  <dc:creator>Lenovo</dc:creator>
  <cp:lastModifiedBy>來日方長</cp:lastModifiedBy>
  <dcterms:modified xsi:type="dcterms:W3CDTF">2026-08-24T06:52:10Z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eyJoZGlkIjoiZWI0YmEyNTFjZGU5N2FlYmZiNWI3YWNhZTU5YTZmZGYiLCJ1c2VySWQiOiIyNzcwMzEwMDgifQ==</vt:lpwstr>
  </property>
  <property fmtid="{D5CDD505-2E9C-101B-9397-08002B2CF9AE}" pid="4" name="ICV">
    <vt:lpwstr>A355948FEB5A458DB7E26A024589AAA7_12</vt:lpwstr>
  </property>
</Properties>
</file>